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765206" w:rsidRDefault="003F30EC" w:rsidP="00CD24D7">
      <w:pPr>
        <w:ind w:left="5664"/>
        <w:rPr>
          <w:rStyle w:val="Pogrubienie"/>
          <w:rFonts w:ascii="Calibri" w:hAnsi="Calibri" w:cs="Calibri"/>
          <w:b w:val="0"/>
          <w:bCs w:val="0"/>
        </w:rPr>
      </w:pPr>
      <w:r w:rsidRPr="00765206">
        <w:rPr>
          <w:rFonts w:ascii="Calibri" w:hAnsi="Calibri" w:cs="Calibri"/>
        </w:rPr>
        <w:t>Włoszczowa</w:t>
      </w:r>
      <w:r w:rsidRPr="00765206">
        <w:rPr>
          <w:rStyle w:val="Pogrubienie"/>
          <w:rFonts w:ascii="Calibri" w:hAnsi="Calibri" w:cs="Calibri"/>
          <w:b w:val="0"/>
          <w:bCs w:val="0"/>
        </w:rPr>
        <w:t xml:space="preserve">, dnia  </w:t>
      </w:r>
      <w:r w:rsidR="00B00793" w:rsidRPr="00765206">
        <w:rPr>
          <w:rStyle w:val="Pogrubienie"/>
          <w:rFonts w:ascii="Calibri" w:hAnsi="Calibri" w:cs="Calibri"/>
          <w:b w:val="0"/>
          <w:bCs w:val="0"/>
        </w:rPr>
        <w:t>01</w:t>
      </w:r>
      <w:r w:rsidRPr="00765206">
        <w:rPr>
          <w:rStyle w:val="Pogrubienie"/>
          <w:rFonts w:ascii="Calibri" w:hAnsi="Calibri" w:cs="Calibri"/>
          <w:b w:val="0"/>
          <w:bCs w:val="0"/>
        </w:rPr>
        <w:t>.</w:t>
      </w:r>
      <w:r w:rsidR="00B00793" w:rsidRPr="00765206">
        <w:rPr>
          <w:rStyle w:val="Pogrubienie"/>
          <w:rFonts w:ascii="Calibri" w:hAnsi="Calibri" w:cs="Calibri"/>
          <w:b w:val="0"/>
          <w:bCs w:val="0"/>
        </w:rPr>
        <w:t>06</w:t>
      </w:r>
      <w:r w:rsidRPr="00765206">
        <w:rPr>
          <w:rStyle w:val="Pogrubienie"/>
          <w:rFonts w:ascii="Calibri" w:hAnsi="Calibri" w:cs="Calibri"/>
          <w:b w:val="0"/>
          <w:bCs w:val="0"/>
        </w:rPr>
        <w:t>.2017 r.</w:t>
      </w:r>
    </w:p>
    <w:p w:rsidR="003F30EC" w:rsidRPr="00765206" w:rsidRDefault="003F30EC" w:rsidP="0070480F">
      <w:pPr>
        <w:jc w:val="right"/>
        <w:rPr>
          <w:rFonts w:ascii="Calibri" w:hAnsi="Calibri" w:cs="Calibri"/>
        </w:rPr>
      </w:pPr>
    </w:p>
    <w:p w:rsidR="003F30EC" w:rsidRPr="00765206" w:rsidRDefault="003F30EC" w:rsidP="0070480F">
      <w:pPr>
        <w:rPr>
          <w:rFonts w:ascii="Calibri" w:hAnsi="Calibri" w:cs="Calibri"/>
        </w:rPr>
      </w:pPr>
      <w:r w:rsidRPr="00765206">
        <w:rPr>
          <w:rFonts w:ascii="Calibri" w:hAnsi="Calibri" w:cs="Calibri"/>
        </w:rPr>
        <w:t>Znak DOAT</w:t>
      </w:r>
      <w:r w:rsidR="00765206" w:rsidRPr="00765206">
        <w:rPr>
          <w:rFonts w:ascii="Calibri" w:hAnsi="Calibri" w:cs="Calibri"/>
        </w:rPr>
        <w:t>:</w:t>
      </w:r>
      <w:r w:rsidRPr="00765206">
        <w:rPr>
          <w:rFonts w:ascii="Calibri" w:hAnsi="Calibri" w:cs="Calibri"/>
        </w:rPr>
        <w:t xml:space="preserve"> </w:t>
      </w:r>
      <w:r w:rsidR="00765206" w:rsidRPr="00765206">
        <w:rPr>
          <w:rFonts w:ascii="Calibri" w:hAnsi="Calibri" w:cs="Calibri"/>
        </w:rPr>
        <w:t>73</w:t>
      </w:r>
      <w:r w:rsidRPr="00765206">
        <w:rPr>
          <w:rFonts w:ascii="Calibri" w:hAnsi="Calibri" w:cs="Calibri"/>
        </w:rPr>
        <w:t>/</w:t>
      </w:r>
      <w:r w:rsidR="00B00793" w:rsidRPr="00765206">
        <w:rPr>
          <w:rFonts w:ascii="Calibri" w:hAnsi="Calibri" w:cs="Calibri"/>
        </w:rPr>
        <w:t>05</w:t>
      </w:r>
      <w:r w:rsidRPr="00765206">
        <w:rPr>
          <w:rFonts w:ascii="Calibri" w:hAnsi="Calibri" w:cs="Calibri"/>
        </w:rPr>
        <w:t>/2017</w:t>
      </w:r>
    </w:p>
    <w:p w:rsidR="003F30EC" w:rsidRPr="00765206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  <w:r w:rsidRPr="00765206">
        <w:rPr>
          <w:rFonts w:ascii="Calibri" w:hAnsi="Calibri" w:cs="Calibri"/>
          <w:b/>
          <w:bCs/>
        </w:rPr>
        <w:tab/>
      </w:r>
    </w:p>
    <w:p w:rsidR="003F30EC" w:rsidRPr="00765206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bookmarkStart w:id="0" w:name="_GoBack"/>
      <w:bookmarkEnd w:id="0"/>
    </w:p>
    <w:p w:rsidR="003F30EC" w:rsidRPr="00765206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3F30EC" w:rsidRPr="00765206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p w:rsidR="003F30EC" w:rsidRPr="00A41042" w:rsidRDefault="003F30EC" w:rsidP="00A41042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765206">
        <w:rPr>
          <w:rFonts w:ascii="Calibri" w:hAnsi="Calibri" w:cs="Calibri"/>
          <w:b/>
          <w:bCs/>
        </w:rPr>
        <w:t>Dotyc</w:t>
      </w:r>
      <w:r w:rsidR="00B00793" w:rsidRPr="00765206">
        <w:rPr>
          <w:rFonts w:ascii="Calibri" w:hAnsi="Calibri" w:cs="Calibri"/>
          <w:b/>
          <w:bCs/>
        </w:rPr>
        <w:t xml:space="preserve">zy: </w:t>
      </w:r>
      <w:r w:rsidR="00A41042" w:rsidRPr="00A41042">
        <w:rPr>
          <w:rFonts w:ascii="Calibri" w:hAnsi="Calibri" w:cs="Calibri"/>
          <w:b/>
          <w:sz w:val="22"/>
          <w:szCs w:val="22"/>
        </w:rPr>
        <w:t xml:space="preserve">Odpowiedzi na pytania do </w:t>
      </w:r>
      <w:r w:rsidR="00B00793" w:rsidRPr="00A41042">
        <w:rPr>
          <w:rFonts w:ascii="Calibri" w:hAnsi="Calibri" w:cs="Calibri"/>
          <w:b/>
          <w:bCs/>
          <w:sz w:val="22"/>
          <w:szCs w:val="22"/>
        </w:rPr>
        <w:t>przetargu nieograniczonego na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00793" w:rsidRPr="00A41042">
        <w:rPr>
          <w:rFonts w:ascii="Calibri" w:hAnsi="Calibri" w:cs="Calibri"/>
          <w:b/>
          <w:bCs/>
          <w:sz w:val="22"/>
          <w:szCs w:val="22"/>
        </w:rPr>
        <w:t xml:space="preserve">„Przebudowę Szpitalnego 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br/>
        <w:t xml:space="preserve">               </w:t>
      </w:r>
      <w:r w:rsidR="00A41042">
        <w:rPr>
          <w:rFonts w:ascii="Calibri" w:hAnsi="Calibri" w:cs="Calibri"/>
          <w:b/>
          <w:bCs/>
          <w:sz w:val="22"/>
          <w:szCs w:val="22"/>
        </w:rPr>
        <w:t xml:space="preserve">   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00793" w:rsidRPr="00A41042">
        <w:rPr>
          <w:rFonts w:ascii="Calibri" w:hAnsi="Calibri" w:cs="Calibri"/>
          <w:b/>
          <w:bCs/>
          <w:sz w:val="22"/>
          <w:szCs w:val="22"/>
        </w:rPr>
        <w:t>Oddziału Ratunkowego na potrzeby Zespołu Opieki Zdrowotnej we Włoszczowie”</w:t>
      </w:r>
      <w:r w:rsidRPr="00A41042">
        <w:rPr>
          <w:rFonts w:ascii="Calibri" w:hAnsi="Calibri" w:cs="Calibri"/>
          <w:b/>
          <w:bCs/>
          <w:sz w:val="22"/>
          <w:szCs w:val="22"/>
        </w:rPr>
        <w:t>.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br/>
        <w:t xml:space="preserve">              </w:t>
      </w:r>
      <w:r w:rsidR="00A41042">
        <w:rPr>
          <w:rFonts w:ascii="Calibri" w:hAnsi="Calibri" w:cs="Calibri"/>
          <w:b/>
          <w:bCs/>
          <w:sz w:val="22"/>
          <w:szCs w:val="22"/>
        </w:rPr>
        <w:t xml:space="preserve">   </w:t>
      </w:r>
      <w:r w:rsidR="00A41042" w:rsidRPr="00A41042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A41042">
        <w:rPr>
          <w:rFonts w:ascii="Calibri" w:hAnsi="Calibri" w:cs="Calibri"/>
          <w:b/>
          <w:bCs/>
          <w:sz w:val="22"/>
          <w:szCs w:val="22"/>
        </w:rPr>
        <w:t xml:space="preserve">Nr sprawy  </w:t>
      </w:r>
      <w:r w:rsidR="00B00793" w:rsidRPr="00A41042">
        <w:rPr>
          <w:rFonts w:ascii="Calibri" w:hAnsi="Calibri" w:cs="Calibri"/>
          <w:b/>
          <w:bCs/>
          <w:sz w:val="22"/>
          <w:szCs w:val="22"/>
        </w:rPr>
        <w:t>10</w:t>
      </w:r>
      <w:r w:rsidRPr="00A41042">
        <w:rPr>
          <w:rFonts w:ascii="Calibri" w:hAnsi="Calibri" w:cs="Calibri"/>
          <w:b/>
          <w:bCs/>
          <w:sz w:val="22"/>
          <w:szCs w:val="22"/>
        </w:rPr>
        <w:t>/</w:t>
      </w:r>
      <w:r w:rsidR="007640AA" w:rsidRPr="00A41042">
        <w:rPr>
          <w:rFonts w:ascii="Calibri" w:hAnsi="Calibri" w:cs="Calibri"/>
          <w:b/>
          <w:bCs/>
          <w:sz w:val="22"/>
          <w:szCs w:val="22"/>
        </w:rPr>
        <w:t>05</w:t>
      </w:r>
      <w:r w:rsidRPr="00A41042">
        <w:rPr>
          <w:rFonts w:ascii="Calibri" w:hAnsi="Calibri" w:cs="Calibri"/>
          <w:b/>
          <w:bCs/>
          <w:sz w:val="22"/>
          <w:szCs w:val="22"/>
        </w:rPr>
        <w:t>/2017.</w:t>
      </w:r>
    </w:p>
    <w:p w:rsidR="003F30EC" w:rsidRPr="00A41042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3F30EC" w:rsidRPr="00765206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765206">
        <w:rPr>
          <w:rFonts w:ascii="Calibri" w:hAnsi="Calibri" w:cs="Calibri"/>
          <w:sz w:val="22"/>
          <w:szCs w:val="22"/>
        </w:rPr>
        <w:t>Odpowiedzi na pytania:</w:t>
      </w:r>
    </w:p>
    <w:p w:rsidR="003F30EC" w:rsidRPr="00765206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:rsidR="003F30EC" w:rsidRPr="00765206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bCs/>
          <w:sz w:val="20"/>
          <w:szCs w:val="20"/>
        </w:rPr>
        <w:t>Pytanie nr 1</w:t>
      </w:r>
    </w:p>
    <w:p w:rsidR="00B00793" w:rsidRPr="00765206" w:rsidRDefault="00B00793" w:rsidP="00B00793">
      <w:pPr>
        <w:rPr>
          <w:rFonts w:ascii="Calibri" w:hAnsi="Calibri" w:cs="Calibri"/>
          <w:b/>
          <w:bCs/>
          <w:sz w:val="20"/>
          <w:szCs w:val="20"/>
        </w:rPr>
      </w:pPr>
      <w:r w:rsidRPr="00765206">
        <w:rPr>
          <w:rFonts w:ascii="Calibri" w:hAnsi="Calibri" w:cs="Calibri"/>
          <w:b/>
          <w:bCs/>
          <w:sz w:val="20"/>
          <w:szCs w:val="20"/>
        </w:rPr>
        <w:t>PRZEDMIAR_BUDOWLANY – SOR - dostawa i montaż lampy podwójnej zabiegowej</w:t>
      </w:r>
    </w:p>
    <w:p w:rsidR="00B00793" w:rsidRPr="00765206" w:rsidRDefault="00B00793" w:rsidP="00B00793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65206">
        <w:rPr>
          <w:rFonts w:ascii="Calibri" w:hAnsi="Calibri" w:cs="Calibri"/>
          <w:sz w:val="20"/>
          <w:szCs w:val="20"/>
          <w:lang w:eastAsia="ar-SA"/>
        </w:rPr>
        <w:t>Prosimy o wyjaśnienie czy Zamawiający dopuści i będzie wymagał lampę zabiegową spełniającą załączoną tabele wymagań: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54"/>
        <w:gridCol w:w="850"/>
        <w:gridCol w:w="1696"/>
      </w:tblGrid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Sufitowa lampa zabiegowa.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Podać producenta i nazwę (typ, model) oferowanego urządzenia.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Lampa składająca się z dwóch kopuł: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- lampy głównej,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- lampy pomocniczej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zawieszonych razem na wspólnej osi.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Konstrukcja lampy i jej parametry zgodne z Polską Normą PN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noBreakHyphen/>
              <w:t>EN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noBreakHyphen/>
              <w:t>60601-2-41 „Szczegółowe wymagania bezpieczeństwa opraw chirurgicznych”.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Źródło światła lampy: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białe diody (LED) o trwałości min. 40 000 godzin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Maksymalne natężenie światła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Ec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lampy głównej: min. 150 000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lux</w:t>
            </w:r>
            <w:proofErr w:type="spellEnd"/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Parametr potwierdzony w załączonej do oferty broszurze.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Maksymalne natężenie światła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Ec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lampy pomocniczej: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 xml:space="preserve">około 120 000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lux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(±10%)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Parametr potwierdzony w załączonej do oferty broszurze.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Średnica oświetlanego pola d10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minimum 20 cm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Parametr potwierdzony w załączonej do oferty broszurze.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Temperatura barwowa światła lampy Tc około 5000 K (± 5%)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Parametr potwierdzony w załączonej do oferty broszurze.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Lampa zapewniająca wierne odwzorowanie barw: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współczynnik Ra min. 95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Parametr potwierdzony w załączonej do oferty broszurze.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Kopuły obu lamp w kształcie koła o średnicy maksymalnie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63 cm - średnica obu kopuł taka sama.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Kopuły o łatwej do czyszczenia zwartej budowie i jednorodnej konstrukcji, bez podziałów na wyodrębnione segmenty oraz bez otworów.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kształt kopuł oferowanej lampy.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Grubość obu kopuł poniżej 9 cm.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Powierzchnia kopuły łatwa do utrzymania w czystości: </w:t>
            </w: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gładka, jednorodna, bez widocznych pokryw, śrub lub nitów mocujących.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Do oferty załączone zdjęcie przedstawiające górną powierzchnię kopuły oferowanej lampy.  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Tak 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Kopuły lamp zawieszone na obrotowych wysięgnikach dwuramiennych. Jedno z ramion każdego wysięgnika uchylne, umożliwiające regulację wysokości lampy.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wysięgniki oferowanej lampy.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Kopuły lamp wyposażone w podwójny przegub zapewniający łatwe manewrowanie kopułą w trzech osiach, w tym: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- pionowej osi obrotu,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- poziomej osi obrotu,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- osi obrotu prostopadłej do osi poziomej;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oferowane rozwiązanie.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Kopuły lamp wyposażone w centralny uchwyt „sterylny” z wymiennymi, ergonomicznie wyprofilowanymi rękojeściami, które można sterylizować w sterylizatorach parowych w temp. 134ᵒC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oferowany uchwyt sterylny.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W komplecie po 4 sztuki rękojeści uchwytu sterylnego dla każdej kopuły.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Uchwyt sterylny umieszczony centralnie, to znaczy dokładnie po środku kopuły, w jej osi symetrii.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położenie uchwytów sterylnych na oferowanych lampach (widok kopuły od spodu).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Kopuły lamp wyposażone dodatkowo w min. 2 zintegrowane uchwyty obwodowe (niesterylne) rozmieszczone na obwodzie kopuły.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oferowane uchwyt obwodowe.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Kopuły lamp wyposażone w panele sterowania umożliwiające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a) włączanie i wyłączanie lampy,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b) elektroniczną regulację natężenia światła lampy.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Do oferty załączone zdjęcie przedstawiające panel sterowania oferowanej lampy.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Panel sterowania wyposażony we wskaźnik ustawionego poziomu natężenia światła.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Możliwość obniżenia natężenia światła lamp do 40 000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lux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(bez przełączania lampy w tryb oświetlenia otoczenia do zabiegów endoskopowych).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  <w:tr w:rsidR="00765206" w:rsidRPr="00765206" w:rsidTr="00EF0D29">
        <w:trPr>
          <w:cantSplit/>
        </w:trPr>
        <w:tc>
          <w:tcPr>
            <w:tcW w:w="562" w:type="dxa"/>
            <w:shd w:val="clear" w:color="auto" w:fill="auto"/>
          </w:tcPr>
          <w:p w:rsidR="00B00793" w:rsidRPr="00765206" w:rsidRDefault="00B00793" w:rsidP="00EF0D29">
            <w:pPr>
              <w:numPr>
                <w:ilvl w:val="0"/>
                <w:numId w:val="11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Obie lampy wyposażone w funkcję oświetlenia otocznia stosowaną podczas zabiegów endoskopowych (tzw. tryb „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endo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”) o natężeniu światła poniżej 500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lux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, włączaną dedykowanym przyciskiem na panelu sterowania.</w:t>
            </w:r>
          </w:p>
        </w:tc>
        <w:tc>
          <w:tcPr>
            <w:tcW w:w="850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65206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696" w:type="dxa"/>
            <w:shd w:val="clear" w:color="auto" w:fill="auto"/>
          </w:tcPr>
          <w:p w:rsidR="00B00793" w:rsidRPr="00765206" w:rsidRDefault="00B00793" w:rsidP="00EF0D29">
            <w:pPr>
              <w:jc w:val="center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</w:tr>
    </w:tbl>
    <w:p w:rsidR="00765206" w:rsidRPr="00765206" w:rsidRDefault="00765206" w:rsidP="00B00793">
      <w:pPr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765206" w:rsidRPr="00765206" w:rsidRDefault="00765206" w:rsidP="00B00793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65206">
        <w:rPr>
          <w:rFonts w:ascii="Calibri" w:hAnsi="Calibri" w:cs="Calibri"/>
          <w:b/>
          <w:bCs/>
          <w:sz w:val="20"/>
          <w:szCs w:val="20"/>
          <w:u w:val="single"/>
        </w:rPr>
        <w:t xml:space="preserve">Odpowiedź: </w:t>
      </w:r>
    </w:p>
    <w:p w:rsidR="00765206" w:rsidRPr="00765206" w:rsidRDefault="00765206" w:rsidP="00B00793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65206">
        <w:rPr>
          <w:rFonts w:ascii="Calibri" w:hAnsi="Calibri" w:cs="Calibri"/>
          <w:bCs/>
          <w:sz w:val="20"/>
          <w:szCs w:val="20"/>
        </w:rPr>
        <w:t>Zamawiający dopuszcza.</w:t>
      </w:r>
    </w:p>
    <w:p w:rsidR="00B00793" w:rsidRPr="00765206" w:rsidRDefault="00B00793" w:rsidP="00B00793">
      <w:pPr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B00793" w:rsidRPr="00765206" w:rsidRDefault="00B00793" w:rsidP="00B00793">
      <w:pPr>
        <w:tabs>
          <w:tab w:val="left" w:pos="1605"/>
        </w:tabs>
        <w:rPr>
          <w:rFonts w:ascii="Calibri" w:hAnsi="Calibri" w:cs="Calibri"/>
          <w:b/>
          <w:bCs/>
          <w:sz w:val="20"/>
          <w:szCs w:val="20"/>
        </w:rPr>
      </w:pPr>
      <w:r w:rsidRPr="00765206">
        <w:rPr>
          <w:rFonts w:ascii="Calibri" w:hAnsi="Calibri" w:cs="Calibri"/>
          <w:b/>
          <w:bCs/>
          <w:sz w:val="20"/>
          <w:szCs w:val="20"/>
        </w:rPr>
        <w:t>Pytanie nr 2</w:t>
      </w:r>
    </w:p>
    <w:p w:rsidR="00B00793" w:rsidRPr="00765206" w:rsidRDefault="00B00793" w:rsidP="00B00793">
      <w:pPr>
        <w:rPr>
          <w:rFonts w:ascii="Calibri" w:hAnsi="Calibri" w:cs="Calibri"/>
          <w:b/>
          <w:bCs/>
          <w:sz w:val="20"/>
          <w:szCs w:val="20"/>
        </w:rPr>
      </w:pPr>
      <w:r w:rsidRPr="00765206">
        <w:rPr>
          <w:rFonts w:ascii="Calibri" w:hAnsi="Calibri" w:cs="Calibri"/>
          <w:b/>
          <w:bCs/>
          <w:sz w:val="20"/>
          <w:szCs w:val="20"/>
        </w:rPr>
        <w:t>PRZEDMIAR_BUDOWLANY – SOR - dostawa i montaż kolumny anestezjologicznej z lampą zabiegowa</w:t>
      </w:r>
    </w:p>
    <w:p w:rsidR="00B00793" w:rsidRPr="00765206" w:rsidRDefault="00B00793" w:rsidP="00B00793">
      <w:pPr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sz w:val="20"/>
          <w:szCs w:val="20"/>
          <w:lang w:eastAsia="ar-SA"/>
        </w:rPr>
        <w:t>Prosimy o wyjaśnienie czy Zamawiający dopuści i będzie wymagał kolumnę anestezjologiczną z lampą zabiegową spełniającą załączoną tabele wymagań:</w:t>
      </w:r>
    </w:p>
    <w:tbl>
      <w:tblPr>
        <w:tblW w:w="8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57" w:type="dxa"/>
        </w:tblCellMar>
        <w:tblLook w:val="01E0" w:firstRow="1" w:lastRow="1" w:firstColumn="1" w:lastColumn="1" w:noHBand="0" w:noVBand="0"/>
      </w:tblPr>
      <w:tblGrid>
        <w:gridCol w:w="675"/>
        <w:gridCol w:w="5983"/>
        <w:gridCol w:w="567"/>
        <w:gridCol w:w="1591"/>
      </w:tblGrid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65206">
              <w:rPr>
                <w:rFonts w:ascii="Calibri" w:hAnsi="Calibri" w:cs="Calibri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91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b/>
                <w:sz w:val="20"/>
                <w:szCs w:val="20"/>
                <w:u w:val="single"/>
              </w:rPr>
              <w:t>Kolumna anestezjologiczna</w:t>
            </w:r>
            <w:r w:rsidRPr="00765206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przeznaczona do instalacji na sali operacyjnej, umożliwiająca zasilanie w gazy medyczne i energię elektryczną aparatu do znieczulania zawieszona razem z lampą zabiegową na jednej konstrukcji podstropowej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pStyle w:val="Akapitzlist"/>
              <w:ind w:left="360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765206" w:rsidRPr="00765206" w:rsidTr="00D55E46">
        <w:trPr>
          <w:cantSplit/>
          <w:trHeight w:val="410"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Sufitowa kolumna zasilająca składająca się z pionowej głowicy zasilającej zawieszonej na obrotowym wysięgniku dwuramiennym.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Głowica zasilająca pionowa o wysokości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powyżej 100 cm.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Ścianki głowicy zasilającej łatwe do utrzymania w czystości: bez śrub, nitów, zaślepek, itp. na widocznych powierzchniach ścianek, wykonane z materiałów odpornych na działanie środków dezynfekcyjnych.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Z przodu głowicy zasilającej zainstalowane pionowe szyny do mocowania półek i innego wyposażenia.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Na bocznych ściankach i z tyłu głowicy zasilającej zainstalowane następujące gniazda: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a) punkty poboru gazów medycznych i próżni: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 tlen O2 - 2 szt.,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- sprężone powietrze AIR – 1szt., 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 próżnia VAC - 2 szt.,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 podtlenek azotu N2O - 1 szt.,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- odciąg gazów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poanestetycznych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AGSS - 1 szt.</w:t>
            </w:r>
          </w:p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b) gniazdka elektryczne 230 V – 8 szt.</w:t>
            </w:r>
          </w:p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c) bolce ekwipotencjalne – 8 szt.</w:t>
            </w:r>
          </w:p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e) miejsca przygotowane pod instalację w przyszłości dodatkowych gniazd niskoprądowych – 2 szt.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Punkty poboru gazów medycznych i próżni rozmieszczone na bocznych ściankach głowicy zasilającej.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Gniazdka elektryczne i bolce ekwipotencjalne zainstalowane na bocznych ściankach głowicy zasilającej.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Punkty poboru gazów medycznych zgodne ze standardem szwedzkim SS8752430 (tzw. typ AGA).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lub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Punkty poboru gazów medycznych zgodne z normą DIN 13260-2 (tzw. typ DIN).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Wszystkie punkty poboru gazów medycznych oznaczone znakiem CE, trwale opisane i oznaczone kolorami kodującymi typ gazu zgodnie z normą PN</w:t>
            </w:r>
            <w:r w:rsidRPr="00765206">
              <w:rPr>
                <w:rFonts w:ascii="Calibri" w:hAnsi="Calibri" w:cs="Calibri"/>
                <w:sz w:val="20"/>
                <w:szCs w:val="20"/>
              </w:rPr>
              <w:noBreakHyphen/>
              <w:t>ISO 32.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Gniazdka elektryczne z bolcem,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bryzgoszczelne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(z klapką),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stopień ochrony min. IP44.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Przygotowanie pod instalację w przyszłości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 xml:space="preserve">dodatkowych gniazd niskoprądowych: </w:t>
            </w:r>
          </w:p>
          <w:p w:rsidR="00B00793" w:rsidRPr="00765206" w:rsidRDefault="00B00793" w:rsidP="00D55E46">
            <w:pPr>
              <w:tabs>
                <w:tab w:val="right" w:pos="3132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w ściance głowicy zasilającej wycięty otwór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 xml:space="preserve">zasłonięty łatwą do zdemontowania pokrywką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 xml:space="preserve">oraz zainstalowana puszka instalacyjna umożliwiająca zamocowanie gniazda niskoprądowego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(np. audio, wideo, system przywoławczy, itp.).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Wewnątrz głowicy zasilającej i wysięgnika kolumny, od puszki do przestrzeni technicznej między stropem a sufitem podwieszanym poprowadzony pilot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(tj. żyłka ułatwiająca wciągnięcie właściwego kabla).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  <w:vAlign w:val="center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trHeight w:val="415"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Zasięg kolumny mierzony od osi obrotu wysięgnika (punkt mocowania do stropu) do osi obrotu głowicy zasilającej: co najmniej 170 cm 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Udźwig kolumny (dopuszczalna waga aparatury i wyposażenia, które można zawiesić na głowicy zasilającej kolumny): minimum 120 kg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Wartość udźwigu kolumny przy oferowanej długości wysięgnika potwierdzona w załączonej do oferty instrukcji obsługi kolumny lub w oryginalnym prospekcie / katalogu powszechnie dostępnym na stronie internetowej producenta kolumny.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Zwalnianie blokady pneumatycznej ramion przyciskami na ściance kolumny.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Dodatkowe przyciski do zwalniania blokady pneumatycznej umieszczone na rączkach sterujących kolumną przymocowanych do tylnej ściany kolumny.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 oferty załączone zdjęcie z oryginalnego, powszechnie dostępnego na stronie internetowej producenta katalogu przedstawiające zaoferowane rozwiązanie.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Boczne szyny montażowe na bocznych ścianach głowicy min 180 mm– 2 szt.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Wyposażenie kolumny: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-półki – 2 szt.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-szuflada – 1 szt.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tabs>
                <w:tab w:val="left" w:pos="3492"/>
              </w:tabs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tabs>
                <w:tab w:val="right" w:pos="3996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Półki o wymiarach powierzchni roboczej: </w:t>
            </w:r>
          </w:p>
          <w:p w:rsidR="00B00793" w:rsidRPr="00765206" w:rsidRDefault="00B00793" w:rsidP="00D55E46">
            <w:pPr>
              <w:tabs>
                <w:tab w:val="right" w:pos="3996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- szerokość: min 40 cm  </w:t>
            </w:r>
          </w:p>
          <w:p w:rsidR="00B00793" w:rsidRPr="00765206" w:rsidRDefault="00B00793" w:rsidP="00D55E46">
            <w:pPr>
              <w:tabs>
                <w:tab w:val="right" w:pos="3996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- głębokość: min 45 cm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tabs>
                <w:tab w:val="right" w:pos="3996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Wszystkie półki wyposażone w boczne szyny montażowe.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Wszystkie szyny montażowe na kolumnie o wymiarach zgodnych z Polską Normą PN EN ISO 19054:2006 „Systemy szynowe do podtrzymywania wyposażenia medycznego” tzn. szerokość od 25 do 35 mm, grubość 10 mm.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Powierzchnia robocza półek łatwa do utrzymania w czystości: gładka, bez widocznych śrub lub nitów mocujących.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numPr>
                <w:ilvl w:val="0"/>
                <w:numId w:val="12"/>
              </w:num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Narożniki półek zabezpieczone zintegrowanymi z półką nakładkami z tworzywa sztucznego.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Możliwość regulacji wysokości zawieszenia wszystkich półek na kolumnie przez użytkownika.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Szuflada zainstalowana pod najniższą półką.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Możliwość łatwego (bez użycia narzędzi)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wyjmowania szuflady do mycia i dezynfekcji.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Wewnętrzna wysokość szuflady około 10 cm ± 20 %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  <w:vAlign w:val="center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Front i boczne ścianki szuflady łatwe do utrzymania czystości: gładkie, bez widocznych śrub lub nitów mocujących, bez wystających uchwytów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Drążek infuzyjny o długości 100 cm (± 10%) z wysuwanym wieszakiem do kroplówek (4 zaczepy rozmieszczone, co 90 stopni).  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Wysięgnik do mocowania drążka infuzyjnego na kolumnie, obrotowy, o zasięgu, co najmniej 40 cm i udźwigu, co najmniej 35 kg.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Wysięgnik mocowany do przednich szyn montażowych.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Wysięgnik wyposażony w wewnętrzne kanały do prowadzenia kabli (np. zasilania pomp infuzyjnych).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 oferty należy załączyć zdjęcie z oryginalnego, powszechnie dostępnego na stronie internetowej producenta katalogu przedstawiające zaoferowane rozwiązanie.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trHeight w:val="485"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b/>
                <w:sz w:val="20"/>
                <w:szCs w:val="20"/>
              </w:rPr>
              <w:t xml:space="preserve">Sufitowa lampa zabiegowa </w:t>
            </w:r>
            <w:r w:rsidRPr="00765206">
              <w:rPr>
                <w:rFonts w:ascii="Calibri" w:hAnsi="Calibri" w:cs="Calibri"/>
                <w:sz w:val="20"/>
                <w:szCs w:val="20"/>
              </w:rPr>
              <w:t xml:space="preserve">składająca się z kopuły zawieszonej na wysięgniku dwuramiennym zawieszona na jednej konstrukcji z kolumną anestezjologiczną 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Konstrukcja lampy operacyjnej i jej parametry zgodne z Polską Normą PN-EN-60601-2-41 „Szczegółowe wymagania bezpieczeństwa opraw chirurgicznych i opraw diagnostycznych”.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Zgodność potwierdzona w załączonej do oferty Deklaracji Zgodności CE lub instrukcji obsługi.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lampy zawieszona na obrotowym wysięgniku dwuramiennym. Jedno z ramion wysięgnika uchylne, umożliwiające regulację wysokości lampy.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 oferty załączona instrukcja obsługi lampy lub zdjęcie z oryginalnego, powszechnie dostępnego na stronie internetowej producenta katalogu przedstawiające zaoferowane rozwiązanie.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lampy wyposażona w podwójny przegub umożliwiający łatwe manewrowanie kopułą w trzech prostopadłych osiach.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 oferty załączona instrukcja obsługi lampy lub zdjęcie z oryginalnego, powszechnie dostępnego na stronie internetowej producenta katalogu przedstawiające zaoferowane rozwiązanie.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lampy wyposażona w centralny uchwyt sterylny z wymiennymi rękojeściami, które można sterylizować w sterylizatorach parowych w temp. 134 ºC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(potwierdzenie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 komplecie 5 rękojeści dla uchwytu sterylnego kopuły.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lampy wyposażona dodatkowo w min. 2 zintegrowane uchwyty (niesterylne) rozmieszczone na obwodzie kopuły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(potwierdzenie: zdjęcie/rysunek kopuły i opis uchwytów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Źródło światła lampy: 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białe diody (LED) o trwałości min. 50 000 godzin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Panel sterowania lampy umieszczony przy kopule lampy, umożliwiający</w:t>
            </w:r>
          </w:p>
          <w:p w:rsidR="00B00793" w:rsidRPr="00765206" w:rsidRDefault="00B00793" w:rsidP="00D55E46">
            <w:pPr>
              <w:tabs>
                <w:tab w:val="left" w:pos="370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a)</w:t>
            </w:r>
            <w:r w:rsidRPr="00765206">
              <w:rPr>
                <w:rFonts w:ascii="Calibri" w:hAnsi="Calibri" w:cs="Calibri"/>
                <w:sz w:val="20"/>
                <w:szCs w:val="20"/>
              </w:rPr>
              <w:tab/>
              <w:t>włączane i wyłączanie lampy, oraz</w:t>
            </w:r>
          </w:p>
          <w:p w:rsidR="00B00793" w:rsidRPr="00765206" w:rsidRDefault="00B00793" w:rsidP="00D55E46">
            <w:pPr>
              <w:tabs>
                <w:tab w:val="left" w:pos="370"/>
              </w:tabs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b)</w:t>
            </w:r>
            <w:r w:rsidRPr="00765206">
              <w:rPr>
                <w:rFonts w:ascii="Calibri" w:hAnsi="Calibri" w:cs="Calibri"/>
                <w:sz w:val="20"/>
                <w:szCs w:val="20"/>
              </w:rPr>
              <w:tab/>
              <w:t>elektroniczną regulację natężenia</w:t>
            </w:r>
            <w:r w:rsidRPr="00765206">
              <w:rPr>
                <w:rFonts w:ascii="Calibri" w:hAnsi="Calibri" w:cs="Calibri"/>
                <w:sz w:val="20"/>
                <w:szCs w:val="20"/>
              </w:rPr>
              <w:br/>
              <w:t>światła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wyposażone we wskaźnik ustawionego poziomu natężenia światła (opis funkcji panelu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Maksymalne natężenie światła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Ec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lampy: 120 000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lux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(+/-10%) (potwierdzenie wartości parametru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Ec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Możliwość elektronicznej regulacji natężenia światła lampy w zakresie od 35 % do 100 % </w:t>
            </w:r>
            <w:proofErr w:type="spellStart"/>
            <w:r w:rsidRPr="00765206">
              <w:rPr>
                <w:rFonts w:ascii="Calibri" w:hAnsi="Calibri" w:cs="Calibri"/>
                <w:sz w:val="20"/>
                <w:szCs w:val="20"/>
              </w:rPr>
              <w:t>Ec</w:t>
            </w:r>
            <w:proofErr w:type="spellEnd"/>
            <w:r w:rsidRPr="00765206">
              <w:rPr>
                <w:rFonts w:ascii="Calibri" w:hAnsi="Calibri" w:cs="Calibri"/>
                <w:sz w:val="20"/>
                <w:szCs w:val="20"/>
              </w:rPr>
              <w:t xml:space="preserve"> lub większym (potwierdzenie zakresu regulacji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 xml:space="preserve">Średnica pola d10 lampy min.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765206">
                <w:rPr>
                  <w:rFonts w:ascii="Calibri" w:hAnsi="Calibri" w:cs="Calibri"/>
                  <w:sz w:val="20"/>
                  <w:szCs w:val="20"/>
                </w:rPr>
                <w:t>20 cm</w:t>
              </w:r>
            </w:smartTag>
            <w:r w:rsidRPr="00765206">
              <w:rPr>
                <w:rFonts w:ascii="Calibri" w:hAnsi="Calibri" w:cs="Calibri"/>
                <w:sz w:val="20"/>
                <w:szCs w:val="20"/>
              </w:rPr>
              <w:t xml:space="preserve"> (potwierdzenie wartości parametru d10 w załączonej instrukcji obsługi).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Lampa zapewniająca białe światło: temperatura barwowa światła lamp Tc powyżej 4800 K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Lampa zapewniająca wierne odwzorowanie barw: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współczynnik oddawania barw lamp Ra min. 95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Lampa zapewniająca wierne odwzorowanie barwy czerwonej: współczynnik oddawania barwy czerwonej lampy R9 min. 93</w:t>
            </w: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5206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Grubość kopuły poniżej 9 cm oraz waga kopuły (wraz z podwójnym przegubem) maksymalnie 13 kg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0793" w:rsidRPr="00765206" w:rsidTr="00D55E46">
        <w:trPr>
          <w:cantSplit/>
          <w:jc w:val="center"/>
        </w:trPr>
        <w:tc>
          <w:tcPr>
            <w:tcW w:w="675" w:type="dxa"/>
          </w:tcPr>
          <w:p w:rsidR="00B00793" w:rsidRPr="00765206" w:rsidRDefault="00B00793" w:rsidP="00B00793">
            <w:pPr>
              <w:pStyle w:val="Akapitzlist"/>
              <w:numPr>
                <w:ilvl w:val="0"/>
                <w:numId w:val="12"/>
              </w:numPr>
              <w:spacing w:before="0" w:after="0"/>
              <w:contextualSpacing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83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lampy w kształcie koła o średnicy maksymalnie 63cm.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Kopuła o łatwej do czyszczenia zwartej budowie i jednorodnej konstrukcji, bez podziałów na wyodrębnione segmenty oraz bez otworów.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Do oferty załączone zdjęcie przedstawiające kształt kopuł oferowanej lampy.</w:t>
            </w:r>
          </w:p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00793" w:rsidRPr="00765206" w:rsidRDefault="00B00793" w:rsidP="00D55E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5206">
              <w:rPr>
                <w:rFonts w:ascii="Calibri" w:hAnsi="Calibri" w:cs="Calibri"/>
                <w:sz w:val="20"/>
                <w:szCs w:val="20"/>
              </w:rPr>
              <w:t>TAK</w:t>
            </w:r>
          </w:p>
        </w:tc>
        <w:tc>
          <w:tcPr>
            <w:tcW w:w="1591" w:type="dxa"/>
          </w:tcPr>
          <w:p w:rsidR="00B00793" w:rsidRPr="00765206" w:rsidRDefault="00B00793" w:rsidP="00D55E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3F30EC" w:rsidRPr="00765206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65206">
        <w:rPr>
          <w:rFonts w:ascii="Calibri" w:hAnsi="Calibri" w:cs="Calibri"/>
          <w:b/>
          <w:bCs/>
          <w:sz w:val="20"/>
          <w:szCs w:val="20"/>
          <w:u w:val="single"/>
        </w:rPr>
        <w:t xml:space="preserve">Odpowiedź: </w:t>
      </w:r>
    </w:p>
    <w:p w:rsidR="00765206" w:rsidRPr="00765206" w:rsidRDefault="00765206" w:rsidP="00765206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65206">
        <w:rPr>
          <w:rFonts w:ascii="Calibri" w:hAnsi="Calibri" w:cs="Calibri"/>
          <w:bCs/>
          <w:sz w:val="20"/>
          <w:szCs w:val="20"/>
        </w:rPr>
        <w:t>Zamawiający dopuszcza.</w:t>
      </w:r>
    </w:p>
    <w:p w:rsidR="00577476" w:rsidRPr="00765206" w:rsidRDefault="00577476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3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2 ust. 6 Umowy </w:t>
      </w:r>
      <w:r w:rsidRPr="00765206">
        <w:rPr>
          <w:rFonts w:ascii="Calibri" w:hAnsi="Calibri" w:cs="Calibri"/>
          <w:sz w:val="20"/>
          <w:szCs w:val="20"/>
        </w:rPr>
        <w:t>– w związku z utrwalonym orzecznictwem co do prawa Zamawiającego do odmowy odbioru wyłącznie w przypadku wad istotnych (tak m.in. Wyrok Sądu Najwyższego - Izba Cywilna z dnia 7 marca 2013 r. II CSK 476/12) Oferent wnosi o zmianę treści § 2 ust. 6 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b/>
          <w:i/>
          <w:sz w:val="20"/>
          <w:szCs w:val="20"/>
        </w:rPr>
      </w:pPr>
      <w:r w:rsidRPr="00765206">
        <w:rPr>
          <w:rFonts w:ascii="Calibri" w:hAnsi="Calibri" w:cs="Calibri"/>
          <w:b/>
          <w:i/>
          <w:sz w:val="20"/>
          <w:szCs w:val="20"/>
        </w:rPr>
        <w:t>„</w:t>
      </w:r>
      <w:r w:rsidRPr="00765206">
        <w:rPr>
          <w:rFonts w:ascii="Calibri" w:hAnsi="Calibri" w:cs="Calibri"/>
          <w:i/>
          <w:sz w:val="20"/>
          <w:szCs w:val="20"/>
        </w:rPr>
        <w:t xml:space="preserve">Strony postanawiają, iż podstawą do fakturowania będą podpisane </w:t>
      </w:r>
      <w:r w:rsidRPr="00765206">
        <w:rPr>
          <w:rFonts w:ascii="Calibri" w:hAnsi="Calibri" w:cs="Calibri"/>
          <w:i/>
          <w:strike/>
          <w:sz w:val="20"/>
          <w:szCs w:val="20"/>
        </w:rPr>
        <w:t>(bez uwag i zastrzeżeń)</w:t>
      </w:r>
      <w:r w:rsidRPr="00765206">
        <w:rPr>
          <w:rFonts w:ascii="Calibri" w:hAnsi="Calibri" w:cs="Calibri"/>
          <w:i/>
          <w:sz w:val="20"/>
          <w:szCs w:val="20"/>
        </w:rPr>
        <w:t xml:space="preserve"> przez strony protokoły </w:t>
      </w:r>
      <w:r w:rsidRPr="00765206">
        <w:rPr>
          <w:rFonts w:ascii="Calibri" w:hAnsi="Calibri" w:cs="Calibri"/>
          <w:i/>
          <w:strike/>
          <w:sz w:val="20"/>
          <w:szCs w:val="20"/>
        </w:rPr>
        <w:t>bezusterkowego</w:t>
      </w:r>
      <w:r w:rsidRPr="00765206">
        <w:rPr>
          <w:rFonts w:ascii="Calibri" w:hAnsi="Calibri" w:cs="Calibri"/>
          <w:i/>
          <w:sz w:val="20"/>
          <w:szCs w:val="20"/>
        </w:rPr>
        <w:t xml:space="preserve"> odbioru końcowego lub rozliczenie, sporządzonego po odstąpieniu od umowy lub powierzeniu poprawienia robót i ich dokończenia osobie trzeciej. Faktura lub inne dokumenty rozliczeniowe </w:t>
      </w:r>
      <w:r w:rsidRPr="00765206">
        <w:rPr>
          <w:rFonts w:ascii="Calibri" w:hAnsi="Calibri" w:cs="Calibri"/>
          <w:i/>
          <w:sz w:val="20"/>
          <w:szCs w:val="20"/>
        </w:rPr>
        <w:lastRenderedPageBreak/>
        <w:t>powinny zostać opisane i potwierdzone przez Inspektora Nadzoru. Na fakturze dodatkowo Inspektor Nadzoru potwierdza, że materiały zostały wbudowane, a roboty wykonane zgodnie z umową</w:t>
      </w:r>
      <w:r w:rsidRPr="00765206">
        <w:rPr>
          <w:rFonts w:ascii="Calibri" w:hAnsi="Calibri" w:cs="Calibri"/>
          <w:b/>
          <w:i/>
          <w:sz w:val="20"/>
          <w:szCs w:val="20"/>
        </w:rPr>
        <w:t>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4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6 ust. 7 - </w:t>
      </w:r>
      <w:r w:rsidRPr="00765206">
        <w:rPr>
          <w:rFonts w:ascii="Calibri" w:hAnsi="Calibri" w:cs="Calibri"/>
          <w:sz w:val="20"/>
          <w:szCs w:val="20"/>
        </w:rPr>
        <w:t>Oferent wnosi o zmianę treści § 6 ust. 7 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</w:t>
      </w:r>
      <w:r w:rsidRPr="00765206">
        <w:rPr>
          <w:rFonts w:ascii="Calibri" w:hAnsi="Calibri" w:cs="Calibri"/>
          <w:i/>
          <w:strike/>
          <w:sz w:val="20"/>
          <w:szCs w:val="20"/>
        </w:rPr>
        <w:t xml:space="preserve">Wykonawca ponosi pełną odpowiedzialność odszkodowawczą na zasadach ogólnych, określonych </w:t>
      </w:r>
      <w:r w:rsidRPr="00765206">
        <w:rPr>
          <w:rFonts w:ascii="Calibri" w:hAnsi="Calibri" w:cs="Calibri"/>
          <w:i/>
          <w:strike/>
          <w:sz w:val="20"/>
          <w:szCs w:val="20"/>
        </w:rPr>
        <w:br/>
        <w:t xml:space="preserve">we właściwych przepisach prawa, za szkody wyrządzone Zamawiającemu lub osobom trzecim w związku </w:t>
      </w:r>
      <w:r w:rsidRPr="00765206">
        <w:rPr>
          <w:rFonts w:ascii="Calibri" w:hAnsi="Calibri" w:cs="Calibri"/>
          <w:i/>
          <w:strike/>
          <w:sz w:val="20"/>
          <w:szCs w:val="20"/>
        </w:rPr>
        <w:br/>
        <w:t xml:space="preserve">z wykonywaniem przedmiotu umowy od momentu przekazania placu budowy. </w:t>
      </w:r>
      <w:r w:rsidRPr="00765206">
        <w:rPr>
          <w:rFonts w:ascii="Calibri" w:hAnsi="Calibri" w:cs="Calibri"/>
          <w:i/>
          <w:sz w:val="20"/>
          <w:szCs w:val="20"/>
        </w:rPr>
        <w:t>W zakresie w jakim nie narusza to przepisów powszechnie obowiązującego prawa, maksymalna łączna odpowiedzialność odszkodowawcza Wykonawcy wobec Zamawiającego wynikająca z tytułu niewykonania lub nienależytego wykonania Umowy, w tym roszczeń z tytułu gwarancji i rękojmi, wszystkich kar umownych przewidzianych w Umowie oraz odpowiedzialność Wykonawcy za szkody powstałe w związku z  Umową na jakiejkolwiek innej podstawie niż odpowiedzialność kontraktowa, w tym również z czynów niedozwolonych, ograniczona będzie do kwoty stanowiącej równowartość .......% łącznego Wynagrodzenia netto. Ponadto, niezależnie od podstawy prawnej roszczenia wyłącza się odpowiedzialność Wykonawcy za utracone korzyści, czyste straty finansowe, szkody pośrednie lub następcze.”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5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7 ust. 3 </w:t>
      </w:r>
      <w:r w:rsidRPr="00765206">
        <w:rPr>
          <w:rFonts w:ascii="Calibri" w:hAnsi="Calibri" w:cs="Calibri"/>
          <w:sz w:val="20"/>
          <w:szCs w:val="20"/>
        </w:rPr>
        <w:t>– Czy „</w:t>
      </w:r>
      <w:r w:rsidRPr="00765206">
        <w:rPr>
          <w:rFonts w:ascii="Calibri" w:hAnsi="Calibri" w:cs="Calibri"/>
          <w:i/>
          <w:sz w:val="20"/>
          <w:szCs w:val="20"/>
        </w:rPr>
        <w:t>poświadczeniem należytego wykonania przez podwykonawcę robót o podobnym charakterze</w:t>
      </w:r>
      <w:r w:rsidRPr="00765206">
        <w:rPr>
          <w:rFonts w:ascii="Calibri" w:hAnsi="Calibri" w:cs="Calibri"/>
          <w:sz w:val="20"/>
          <w:szCs w:val="20"/>
        </w:rPr>
        <w:t>” może być oświadczenie tego podwykonawcy?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</w:p>
    <w:p w:rsidR="00577476" w:rsidRPr="00765206" w:rsidRDefault="00577476" w:rsidP="00577476">
      <w:pPr>
        <w:pStyle w:val="Akapitzlist"/>
        <w:tabs>
          <w:tab w:val="left" w:pos="3980"/>
        </w:tabs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tabs>
          <w:tab w:val="left" w:pos="3980"/>
        </w:tabs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6</w:t>
      </w:r>
      <w:r w:rsidRPr="00765206">
        <w:rPr>
          <w:rFonts w:ascii="Calibri" w:hAnsi="Calibri" w:cs="Calibri"/>
          <w:sz w:val="20"/>
          <w:szCs w:val="20"/>
        </w:rPr>
        <w:tab/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7 ust. 24 </w:t>
      </w:r>
      <w:r w:rsidRPr="00765206">
        <w:rPr>
          <w:rFonts w:ascii="Calibri" w:hAnsi="Calibri" w:cs="Calibri"/>
          <w:sz w:val="20"/>
          <w:szCs w:val="20"/>
        </w:rPr>
        <w:t>–  Oferent wnosi o zmianę treści § 7 ust. 24 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„Inspektor nadzoru inwestorskiego może żądać od Wykonawcy zmiany albo odsunięcia podwykonawcy, jeżeli sprzęt techniczny, osoby i kwalifikacje, którymi dysponuje podwykonawca, nie spełniają warunków lub wymagań dotyczących podwykonawstwa, określonych w postępowaniu o udzielenie zamówienia publicznego</w:t>
      </w:r>
      <w:r w:rsidRPr="00765206">
        <w:rPr>
          <w:rFonts w:ascii="Calibri" w:hAnsi="Calibri" w:cs="Calibri"/>
          <w:i/>
          <w:strike/>
          <w:sz w:val="20"/>
          <w:szCs w:val="20"/>
        </w:rPr>
        <w:t>, nie dają rękojmi należytego wykonania powierzonych podwykonawcy robót budowlanych lub dotrzymania terminów realizacji tych robót</w:t>
      </w:r>
      <w:r w:rsidRPr="00765206">
        <w:rPr>
          <w:rFonts w:ascii="Calibri" w:hAnsi="Calibri" w:cs="Calibri"/>
          <w:i/>
          <w:sz w:val="20"/>
          <w:szCs w:val="20"/>
        </w:rPr>
        <w:t>.”</w:t>
      </w: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b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sz w:val="20"/>
          <w:szCs w:val="20"/>
        </w:rPr>
        <w:t xml:space="preserve"> </w:t>
      </w: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7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8 ust. 3 </w:t>
      </w:r>
      <w:r w:rsidRPr="00765206">
        <w:rPr>
          <w:rFonts w:ascii="Calibri" w:hAnsi="Calibri" w:cs="Calibri"/>
          <w:sz w:val="20"/>
          <w:szCs w:val="20"/>
        </w:rPr>
        <w:t>- w związku z utrwalonym orzecznictwem co do prawa Zamawiającego do odmowy odbioru wyłącznie w przypadku wad istotnych (tak m.in. Wyrok Sądu Najwyższego - Izba Cywilna z dnia 7 marca 2013 r. II CSK 476/12) Oferent wnosi o zmianę treści § 8 ust. 3 wzoru Umowy w sposób następujący:</w:t>
      </w:r>
    </w:p>
    <w:p w:rsidR="00577476" w:rsidRPr="00765206" w:rsidRDefault="00577476" w:rsidP="00577476">
      <w:pPr>
        <w:spacing w:after="0"/>
        <w:ind w:left="426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„Jeżeli w toku czynności zostaną stwierdzone wady lub usterki, to Zamawiającemu przysługują następujące uprawnienia:</w:t>
      </w:r>
    </w:p>
    <w:p w:rsidR="00577476" w:rsidRPr="00765206" w:rsidRDefault="00577476" w:rsidP="00577476">
      <w:pPr>
        <w:numPr>
          <w:ilvl w:val="1"/>
          <w:numId w:val="14"/>
        </w:numPr>
        <w:suppressAutoHyphens/>
        <w:spacing w:before="0" w:after="0"/>
        <w:ind w:left="709" w:hanging="283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jeżeli wady lub usterki uniemożliwiają użytkowanie przedmiotu odbioru zgodnie z przeznaczeniem (wady istotne) i nadają się do usunięcia, może odmówić odbioru do czasu ich usunięcia; w tym celu Zamawiający i Wykonawca podpiszą protokół rozbieżności, w którym zostaną wyszczególnione wady i usterki istotne oraz termin do ich usunięcia przez Wykonawcę. Po usunięciu wad i usterek istotnych, Strony podpiszą protokół odbioru końcowego;</w:t>
      </w:r>
    </w:p>
    <w:p w:rsidR="00577476" w:rsidRPr="00765206" w:rsidRDefault="00577476" w:rsidP="00577476">
      <w:pPr>
        <w:numPr>
          <w:ilvl w:val="1"/>
          <w:numId w:val="14"/>
        </w:numPr>
        <w:suppressAutoHyphens/>
        <w:spacing w:before="0" w:after="0"/>
        <w:ind w:left="709" w:hanging="283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lastRenderedPageBreak/>
        <w:t>jeżeli wady lub usterki nie uniemożliwiają użytkowanie przedmiotu odbioru zgodnie z przeznaczeniem (wady nieistotne) i nadają się do usunięcia, Zamawiający podpisze protokół odbioru końcowego, w którym wyszczególni te wady i usterki oraz wskaże termin do ich usunięcia przez Wykonawcę; wyznaczenie przez Zamawiającego terminu do usunięcia przez Wykonawcę tych wad i usterek nie uprawnia Zamawiającego do wstrzymania wypłaty należnego Wykonawcy Wynagrodzenia;</w:t>
      </w:r>
    </w:p>
    <w:p w:rsidR="00577476" w:rsidRPr="00765206" w:rsidRDefault="00577476" w:rsidP="00577476">
      <w:pPr>
        <w:numPr>
          <w:ilvl w:val="1"/>
          <w:numId w:val="14"/>
        </w:numPr>
        <w:suppressAutoHyphens/>
        <w:spacing w:before="0" w:after="0"/>
        <w:ind w:left="709" w:hanging="283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jeżeli wady lub usterki nie nadają się do usunięcia to:</w:t>
      </w:r>
    </w:p>
    <w:p w:rsidR="00577476" w:rsidRPr="00765206" w:rsidRDefault="00577476" w:rsidP="00577476">
      <w:pPr>
        <w:ind w:left="709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- jeżeli nie uniemożliwiają użytkowania przedmiotu odbioru zgodnie </w:t>
      </w:r>
      <w:r w:rsidRPr="00765206">
        <w:rPr>
          <w:rFonts w:ascii="Calibri" w:hAnsi="Calibri" w:cs="Calibri"/>
          <w:i/>
          <w:sz w:val="20"/>
          <w:szCs w:val="20"/>
        </w:rPr>
        <w:br/>
        <w:t>z przeznaczeniem (wady nieistotne), może obniżyć odpowiednio wynagrodzenie,</w:t>
      </w:r>
    </w:p>
    <w:p w:rsidR="00577476" w:rsidRPr="00765206" w:rsidRDefault="00577476" w:rsidP="00577476">
      <w:pPr>
        <w:ind w:left="709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- jeżeli uniemożliwiają użytkowanie przedmiotu odbioru zgodnie z przeznaczeniem (wady istotne), może odstąpić od umowy lub żądać wykonania wadliwie wykonanej części przedmiotu umowy po raz drugi na koszt i ryzyko Wykonawcy, </w:t>
      </w:r>
      <w:r w:rsidRPr="00765206">
        <w:rPr>
          <w:rFonts w:ascii="Calibri" w:hAnsi="Calibri" w:cs="Calibri"/>
          <w:i/>
          <w:sz w:val="20"/>
          <w:szCs w:val="20"/>
        </w:rPr>
        <w:br/>
        <w:t xml:space="preserve">o ile koszt wykonania tych prac wraz z dotychczas poniesionymi przez Wykonawcę kosztami w ramach odpowiedzialności odszkodowawczej wynikającej z Umowy, nie przekroczy maksymalnej odpowiedzialności Wykonawcy zgodnie z § 6 ust. 7 Umowy. </w:t>
      </w:r>
      <w:r w:rsidRPr="00765206">
        <w:rPr>
          <w:rFonts w:ascii="Calibri" w:hAnsi="Calibri" w:cs="Calibri"/>
          <w:i/>
          <w:strike/>
          <w:sz w:val="20"/>
          <w:szCs w:val="20"/>
        </w:rPr>
        <w:t>lub odstąpić od umowy</w:t>
      </w:r>
      <w:r w:rsidRPr="00765206">
        <w:rPr>
          <w:rFonts w:ascii="Calibri" w:hAnsi="Calibri" w:cs="Calibri"/>
          <w:i/>
          <w:sz w:val="20"/>
          <w:szCs w:val="20"/>
        </w:rPr>
        <w:t>.”</w:t>
      </w:r>
    </w:p>
    <w:p w:rsidR="00577476" w:rsidRPr="00765206" w:rsidRDefault="00577476" w:rsidP="00765206">
      <w:pPr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765206">
      <w:pPr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8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8 ust. 5 </w:t>
      </w:r>
      <w:r w:rsidRPr="00765206">
        <w:rPr>
          <w:rFonts w:ascii="Calibri" w:hAnsi="Calibri" w:cs="Calibri"/>
          <w:sz w:val="20"/>
          <w:szCs w:val="20"/>
        </w:rPr>
        <w:t>– Oferent wnosi o zmianę treści § 8 ust. 5 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„Wykonawca zobowiązuje się do usunięcia wad lub usterek stwierdzonych w toku odbioru w terminie </w:t>
      </w:r>
      <w:r w:rsidRPr="00765206">
        <w:rPr>
          <w:rFonts w:ascii="Calibri" w:hAnsi="Calibri" w:cs="Calibri"/>
          <w:i/>
          <w:strike/>
          <w:sz w:val="20"/>
          <w:szCs w:val="20"/>
        </w:rPr>
        <w:t>7 dni od ich zgłoszenia</w:t>
      </w:r>
      <w:r w:rsidRPr="00765206">
        <w:rPr>
          <w:rFonts w:ascii="Calibri" w:hAnsi="Calibri" w:cs="Calibri"/>
          <w:i/>
          <w:sz w:val="20"/>
          <w:szCs w:val="20"/>
        </w:rPr>
        <w:t xml:space="preserve"> technicznie możliwym, wyznaczonym przez Zamawiającego, jednak nie krótszym niż 7 dni od ich zgłoszenia.”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9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8 ust. 11 </w:t>
      </w:r>
      <w:r w:rsidRPr="00765206">
        <w:rPr>
          <w:rFonts w:ascii="Calibri" w:hAnsi="Calibri" w:cs="Calibri"/>
          <w:sz w:val="20"/>
          <w:szCs w:val="20"/>
        </w:rPr>
        <w:t>– Oferent wnosi o zmianę treści § 8 ust. 11 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„Zamawiający rozpocznie odbiór końcowy robót w wyznaczonym terminie, nie dłuższym jednak niż 3 dni od ich zgłoszenia. W czynnościach odbioru będą brali udział przedstawiciele Zamawiającego i Wykonawcy, w szczególności Inspektorzy nadzoru oraz Kierownik budowy lub Kierownika robót budowlanych. W przypadku, gdy protokół odbioru końcowego nie zostanie podpisany przez Zamawiającego z przyczyn nie leżących po stronie Wykonawcy w ciągu .... dni od dnia zgłoszenia przez Wykonawcę gotowości do odbioru końcowego, Wykonawca ma prawo wystawić fakturę VAT z załączonym, jednostronnie podpisanym protokołem odbioru końcowego, a Zamawiający będzie zobowiązany do jej zapłaty.”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10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9 ust. 6 </w:t>
      </w:r>
      <w:r w:rsidRPr="00765206">
        <w:rPr>
          <w:rFonts w:ascii="Calibri" w:hAnsi="Calibri" w:cs="Calibri"/>
          <w:sz w:val="20"/>
          <w:szCs w:val="20"/>
        </w:rPr>
        <w:t>– Oferent wnosi o zmianę treści § 9 ust. 6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„Wykonawca zapłaci Zamawiającemu kary umowne również w przypadku:</w:t>
      </w:r>
    </w:p>
    <w:p w:rsidR="00577476" w:rsidRPr="00765206" w:rsidRDefault="00577476" w:rsidP="00577476">
      <w:pPr>
        <w:pStyle w:val="Tekstpodstawowywcity"/>
        <w:numPr>
          <w:ilvl w:val="0"/>
          <w:numId w:val="15"/>
        </w:numPr>
        <w:tabs>
          <w:tab w:val="left" w:pos="851"/>
        </w:tabs>
        <w:spacing w:before="0" w:after="0"/>
        <w:ind w:left="851" w:hanging="425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braku zapłaty wynagrodzenia należnego podwykonawcy lub dalszemu podwykonawcy, co spowoduje konieczność bezpośredniej zapłaty przez Zamawiającego, w wysokości 1 % łącznego wynagrodzenia </w:t>
      </w:r>
      <w:r w:rsidRPr="00765206">
        <w:rPr>
          <w:rFonts w:ascii="Calibri" w:hAnsi="Calibri" w:cs="Calibri"/>
          <w:i/>
          <w:strike/>
          <w:sz w:val="20"/>
          <w:szCs w:val="20"/>
        </w:rPr>
        <w:t>brutto</w:t>
      </w:r>
      <w:r w:rsidRPr="00765206">
        <w:rPr>
          <w:rFonts w:ascii="Calibri" w:hAnsi="Calibri" w:cs="Calibri"/>
          <w:i/>
          <w:sz w:val="20"/>
          <w:szCs w:val="20"/>
        </w:rPr>
        <w:t xml:space="preserve"> netto Wykonawcy za każdy taki przypadek,</w:t>
      </w:r>
    </w:p>
    <w:p w:rsidR="00577476" w:rsidRPr="00765206" w:rsidRDefault="00577476" w:rsidP="00577476">
      <w:pPr>
        <w:pStyle w:val="Tekstpodstawowywcity"/>
        <w:numPr>
          <w:ilvl w:val="0"/>
          <w:numId w:val="15"/>
        </w:numPr>
        <w:tabs>
          <w:tab w:val="left" w:pos="851"/>
        </w:tabs>
        <w:spacing w:before="0" w:after="0"/>
        <w:ind w:left="851" w:hanging="425"/>
        <w:rPr>
          <w:rFonts w:ascii="Calibri" w:hAnsi="Calibri" w:cs="Calibri"/>
          <w:i/>
          <w:strike/>
          <w:sz w:val="20"/>
          <w:szCs w:val="20"/>
        </w:rPr>
      </w:pPr>
      <w:r w:rsidRPr="00765206">
        <w:rPr>
          <w:rFonts w:ascii="Calibri" w:hAnsi="Calibri" w:cs="Calibri"/>
          <w:i/>
          <w:strike/>
          <w:sz w:val="20"/>
          <w:szCs w:val="20"/>
        </w:rPr>
        <w:t>nieterminowej zapłaty wynagrodzenia należnego podwykonawcy lub dalszemu podwykonawcy w wysokości 0,05 % łącznego wynagrodzenia brutto Wykonawcy za każdy dzień opóźnienia, za każdy taki przypadek,</w:t>
      </w:r>
    </w:p>
    <w:p w:rsidR="00577476" w:rsidRPr="00765206" w:rsidRDefault="00577476" w:rsidP="00577476">
      <w:pPr>
        <w:pStyle w:val="Akapitzlist1"/>
        <w:numPr>
          <w:ilvl w:val="0"/>
          <w:numId w:val="15"/>
        </w:numPr>
        <w:tabs>
          <w:tab w:val="left" w:pos="851"/>
        </w:tabs>
        <w:spacing w:after="0" w:line="240" w:lineRule="auto"/>
        <w:ind w:left="851" w:hanging="425"/>
        <w:jc w:val="both"/>
        <w:rPr>
          <w:i/>
          <w:sz w:val="20"/>
          <w:szCs w:val="20"/>
        </w:rPr>
      </w:pPr>
      <w:r w:rsidRPr="00765206">
        <w:rPr>
          <w:i/>
          <w:sz w:val="20"/>
          <w:szCs w:val="20"/>
        </w:rPr>
        <w:t xml:space="preserve">nieprzedłożenia do zaakceptowania projektu umowy o podwykonawstwo, której przedmiotem są roboty budowlane, lub projektu jej zmiany, w wysokości 0,2 % łącznego wynagrodzenia </w:t>
      </w:r>
      <w:r w:rsidRPr="00765206">
        <w:rPr>
          <w:i/>
          <w:strike/>
          <w:sz w:val="20"/>
          <w:szCs w:val="20"/>
        </w:rPr>
        <w:t>brutto</w:t>
      </w:r>
      <w:r w:rsidRPr="00765206">
        <w:rPr>
          <w:i/>
          <w:sz w:val="20"/>
          <w:szCs w:val="20"/>
        </w:rPr>
        <w:t xml:space="preserve"> netto Wykonawcy za każdy taki przypadek,</w:t>
      </w:r>
    </w:p>
    <w:p w:rsidR="00577476" w:rsidRPr="00765206" w:rsidRDefault="00577476" w:rsidP="00577476">
      <w:pPr>
        <w:pStyle w:val="Akapitzlist1"/>
        <w:numPr>
          <w:ilvl w:val="0"/>
          <w:numId w:val="15"/>
        </w:numPr>
        <w:tabs>
          <w:tab w:val="left" w:pos="851"/>
        </w:tabs>
        <w:spacing w:after="0" w:line="240" w:lineRule="auto"/>
        <w:ind w:left="851" w:hanging="425"/>
        <w:jc w:val="both"/>
        <w:rPr>
          <w:i/>
          <w:sz w:val="20"/>
          <w:szCs w:val="20"/>
        </w:rPr>
      </w:pPr>
      <w:r w:rsidRPr="00765206">
        <w:rPr>
          <w:i/>
          <w:sz w:val="20"/>
          <w:szCs w:val="20"/>
        </w:rPr>
        <w:lastRenderedPageBreak/>
        <w:t xml:space="preserve">nieprzedłożenia poświadczonej za zgodność z oryginałem kopii umowy </w:t>
      </w:r>
      <w:r w:rsidRPr="00765206">
        <w:rPr>
          <w:i/>
          <w:sz w:val="20"/>
          <w:szCs w:val="20"/>
        </w:rPr>
        <w:br/>
        <w:t xml:space="preserve">o podwykonawstwo lub jej zmiany, w wysokości 0,2 % łącznego wynagrodzenia </w:t>
      </w:r>
      <w:r w:rsidRPr="00765206">
        <w:rPr>
          <w:i/>
          <w:strike/>
          <w:sz w:val="20"/>
          <w:szCs w:val="20"/>
        </w:rPr>
        <w:t>brutto</w:t>
      </w:r>
      <w:r w:rsidRPr="00765206">
        <w:rPr>
          <w:i/>
          <w:sz w:val="20"/>
          <w:szCs w:val="20"/>
        </w:rPr>
        <w:t xml:space="preserve"> netto Wykonawcy za każdy taki przypadek,</w:t>
      </w:r>
    </w:p>
    <w:p w:rsidR="00577476" w:rsidRPr="00765206" w:rsidRDefault="00577476" w:rsidP="00577476">
      <w:pPr>
        <w:pStyle w:val="Akapitzlist1"/>
        <w:numPr>
          <w:ilvl w:val="0"/>
          <w:numId w:val="15"/>
        </w:numPr>
        <w:tabs>
          <w:tab w:val="left" w:pos="851"/>
        </w:tabs>
        <w:spacing w:after="0" w:line="240" w:lineRule="auto"/>
        <w:ind w:left="851" w:hanging="425"/>
        <w:jc w:val="both"/>
        <w:rPr>
          <w:i/>
          <w:sz w:val="20"/>
          <w:szCs w:val="20"/>
        </w:rPr>
      </w:pPr>
      <w:r w:rsidRPr="00765206">
        <w:rPr>
          <w:i/>
          <w:sz w:val="20"/>
          <w:szCs w:val="20"/>
        </w:rPr>
        <w:t xml:space="preserve">braku zmiany umowy o podwykonawstwo w zakresie terminu zapłaty w wysokości 0,2 % łącznego wynagrodzenia </w:t>
      </w:r>
      <w:r w:rsidRPr="00765206">
        <w:rPr>
          <w:i/>
          <w:strike/>
          <w:sz w:val="20"/>
          <w:szCs w:val="20"/>
        </w:rPr>
        <w:t>brutto</w:t>
      </w:r>
      <w:r w:rsidRPr="00765206">
        <w:rPr>
          <w:i/>
          <w:sz w:val="20"/>
          <w:szCs w:val="20"/>
        </w:rPr>
        <w:t xml:space="preserve"> netto Wykonawcy za każdy taki przypadek,</w:t>
      </w:r>
    </w:p>
    <w:p w:rsidR="00577476" w:rsidRPr="00765206" w:rsidRDefault="00577476" w:rsidP="00577476">
      <w:pPr>
        <w:pStyle w:val="Akapitzlist1"/>
        <w:numPr>
          <w:ilvl w:val="0"/>
          <w:numId w:val="15"/>
        </w:numPr>
        <w:tabs>
          <w:tab w:val="left" w:pos="851"/>
        </w:tabs>
        <w:spacing w:after="0" w:line="240" w:lineRule="auto"/>
        <w:ind w:left="851" w:hanging="425"/>
        <w:jc w:val="both"/>
        <w:rPr>
          <w:i/>
          <w:sz w:val="20"/>
          <w:szCs w:val="20"/>
        </w:rPr>
      </w:pPr>
      <w:r w:rsidRPr="00765206">
        <w:rPr>
          <w:i/>
          <w:sz w:val="20"/>
          <w:szCs w:val="20"/>
        </w:rPr>
        <w:t>stwierdzenie braku wywiązania się z obowiązku o którym mowa w §4 ust. 15</w:t>
      </w:r>
      <w:r w:rsidRPr="00765206">
        <w:rPr>
          <w:i/>
          <w:sz w:val="20"/>
          <w:szCs w:val="20"/>
        </w:rPr>
        <w:br/>
        <w:t xml:space="preserve"> w wysokości 0,2 % łącznego wynagrodzenia </w:t>
      </w:r>
      <w:r w:rsidRPr="00765206">
        <w:rPr>
          <w:i/>
          <w:strike/>
          <w:sz w:val="20"/>
          <w:szCs w:val="20"/>
        </w:rPr>
        <w:t>brutto</w:t>
      </w:r>
      <w:r w:rsidRPr="00765206">
        <w:rPr>
          <w:i/>
          <w:sz w:val="20"/>
          <w:szCs w:val="20"/>
        </w:rPr>
        <w:t xml:space="preserve"> netto Wykonawcy za każdy taki przypadek.”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11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9 </w:t>
      </w:r>
      <w:r w:rsidRPr="00765206">
        <w:rPr>
          <w:rFonts w:ascii="Calibri" w:hAnsi="Calibri" w:cs="Calibri"/>
          <w:sz w:val="20"/>
          <w:szCs w:val="20"/>
        </w:rPr>
        <w:t>– Oferent wnosi o dodanie do § 9 wzoru Umowy nowego postanowienia o następującym brzmieniu: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„Maksymalna łączna suma wszystkich kar umownych, których Zamawiający może dochodzić od Wykonawcy na podstawie niniejszej Umowy ograniczona jest do 15 % łącznego Wynagrodzenia netto.”</w:t>
      </w:r>
    </w:p>
    <w:p w:rsidR="00577476" w:rsidRPr="00765206" w:rsidRDefault="0057747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12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§ 9 ust. 7</w:t>
      </w:r>
      <w:r w:rsidRPr="00765206">
        <w:rPr>
          <w:rFonts w:ascii="Calibri" w:hAnsi="Calibri" w:cs="Calibri"/>
          <w:sz w:val="20"/>
          <w:szCs w:val="20"/>
        </w:rPr>
        <w:t xml:space="preserve"> - Oferent wnosi o zmianę treści § 9 ust. 7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„Z zastrzeżeniem § 6 ust. 7 Umowy, </w:t>
      </w:r>
      <w:r w:rsidRPr="00765206">
        <w:rPr>
          <w:rFonts w:ascii="Calibri" w:hAnsi="Calibri" w:cs="Calibri"/>
          <w:i/>
          <w:strike/>
          <w:sz w:val="20"/>
          <w:szCs w:val="20"/>
        </w:rPr>
        <w:t>W</w:t>
      </w:r>
      <w:r w:rsidRPr="00765206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765206">
        <w:rPr>
          <w:rFonts w:ascii="Calibri" w:hAnsi="Calibri" w:cs="Calibri"/>
          <w:i/>
          <w:sz w:val="20"/>
          <w:szCs w:val="20"/>
        </w:rPr>
        <w:t>w</w:t>
      </w:r>
      <w:proofErr w:type="spellEnd"/>
      <w:r w:rsidRPr="00765206">
        <w:rPr>
          <w:rFonts w:ascii="Calibri" w:hAnsi="Calibri" w:cs="Calibri"/>
          <w:i/>
          <w:sz w:val="20"/>
          <w:szCs w:val="20"/>
        </w:rPr>
        <w:t xml:space="preserve"> sytuacji, gdy szkoda przekraczać będzie wartość zastrzeżonej kary umownej, Zamawiający ma prawo dochodzenia odszkodowania uzupełniającego ponad wartość zastrzeżonych kar umownych </w:t>
      </w:r>
      <w:r w:rsidRPr="00765206">
        <w:rPr>
          <w:rFonts w:ascii="Calibri" w:hAnsi="Calibri" w:cs="Calibri"/>
          <w:i/>
          <w:strike/>
          <w:sz w:val="20"/>
          <w:szCs w:val="20"/>
        </w:rPr>
        <w:t>na zasadach ogólnych, niezależnie od kar umownych</w:t>
      </w:r>
      <w:r w:rsidRPr="00765206">
        <w:rPr>
          <w:rFonts w:ascii="Calibri" w:hAnsi="Calibri" w:cs="Calibri"/>
          <w:i/>
          <w:sz w:val="20"/>
          <w:szCs w:val="20"/>
        </w:rPr>
        <w:t>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13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§ 9 ust. 10</w:t>
      </w:r>
      <w:r w:rsidRPr="00765206">
        <w:rPr>
          <w:rFonts w:ascii="Calibri" w:hAnsi="Calibri" w:cs="Calibri"/>
          <w:sz w:val="20"/>
          <w:szCs w:val="20"/>
        </w:rPr>
        <w:t xml:space="preserve"> - w związku z utrwalonym orzecznictwem co do braku zasadności kumulacji kar umownych (tak Uchwała Sądu Najwyższego - Izba Cywilna z dnia 18 lipca 2012 r. III CZP 39/12) Oferent wnosi o zmianę treści</w:t>
      </w:r>
      <w:r w:rsidRPr="00765206">
        <w:rPr>
          <w:rFonts w:ascii="Calibri" w:hAnsi="Calibri" w:cs="Calibri"/>
          <w:sz w:val="20"/>
          <w:szCs w:val="20"/>
        </w:rPr>
        <w:br/>
        <w:t>§ 9 ust. 10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„Kary umowne nie mogą podlegać sumowaniu.”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14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10  ust. 2 - </w:t>
      </w:r>
      <w:r w:rsidRPr="00765206">
        <w:rPr>
          <w:rFonts w:ascii="Calibri" w:hAnsi="Calibri" w:cs="Calibri"/>
          <w:sz w:val="20"/>
          <w:szCs w:val="20"/>
        </w:rPr>
        <w:t>Oferent wnosi o zmianę treści § 10 ust. 2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„Okres gwarancji wynosi …… miesięcy na wszelkie prace, roboty budowlane natomiast na urządzenia objęte przedmiotem niniejszej umowy wynosi …… miesięcy i jest liczony od dnia  podpisania przez Zamawiającego </w:t>
      </w:r>
      <w:r w:rsidRPr="00765206">
        <w:rPr>
          <w:rFonts w:ascii="Calibri" w:hAnsi="Calibri" w:cs="Calibri"/>
          <w:i/>
          <w:strike/>
          <w:sz w:val="20"/>
          <w:szCs w:val="20"/>
        </w:rPr>
        <w:t>bez uwag i zastrzeżeń</w:t>
      </w:r>
      <w:r w:rsidRPr="00765206">
        <w:rPr>
          <w:rFonts w:ascii="Calibri" w:hAnsi="Calibri" w:cs="Calibri"/>
          <w:i/>
          <w:sz w:val="20"/>
          <w:szCs w:val="20"/>
        </w:rPr>
        <w:t xml:space="preserve"> protokołu odbioru końcowego robót oraz doręczenia Zamawiającemu dokumentów o których mowa w § 2 ust 6.”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15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 xml:space="preserve">§ 10  ust. 5 - </w:t>
      </w:r>
      <w:r w:rsidRPr="00765206">
        <w:rPr>
          <w:rFonts w:ascii="Calibri" w:hAnsi="Calibri" w:cs="Calibri"/>
          <w:sz w:val="20"/>
          <w:szCs w:val="20"/>
        </w:rPr>
        <w:t>Oferent wnosi o zmianę treści § 10 ust. 5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„W ramach udzielonej gwarancji jakości Wykonawca zobowiązuje się w terminie technicznie możliwym, jednak nie krótszym niż 7 dni od daty pisemnego wezwania Zamawiającego do:</w:t>
      </w:r>
    </w:p>
    <w:p w:rsidR="00577476" w:rsidRPr="00765206" w:rsidRDefault="00577476" w:rsidP="00577476">
      <w:pPr>
        <w:pStyle w:val="Akapitzlist"/>
        <w:ind w:left="426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a.</w:t>
      </w:r>
      <w:r w:rsidRPr="00765206">
        <w:rPr>
          <w:rFonts w:ascii="Calibri" w:hAnsi="Calibri" w:cs="Calibri"/>
          <w:i/>
          <w:sz w:val="20"/>
          <w:szCs w:val="20"/>
        </w:rPr>
        <w:tab/>
        <w:t>usunięcia wady fizycznej lub usterki lub</w:t>
      </w:r>
    </w:p>
    <w:p w:rsidR="00577476" w:rsidRPr="00765206" w:rsidRDefault="00577476" w:rsidP="00577476">
      <w:pPr>
        <w:pStyle w:val="Akapitzlist"/>
        <w:ind w:left="426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lastRenderedPageBreak/>
        <w:t>b.</w:t>
      </w:r>
      <w:r w:rsidRPr="00765206">
        <w:rPr>
          <w:rFonts w:ascii="Calibri" w:hAnsi="Calibri" w:cs="Calibri"/>
          <w:i/>
          <w:sz w:val="20"/>
          <w:szCs w:val="20"/>
        </w:rPr>
        <w:tab/>
        <w:t>wykonania przedmiotu umowy lub dotkniętej wadą lub usterką jego części od nowa – w przypadku, kiedy samo usunięcie wady lub usterki nie umożliwia użytkowania przedmiotu umowy zgodnie z jego przeznaczeniem. Zastrzega się, że Wykonawca może odmówić wykonania przedmiotu umowy lub dotkniętej wadą lub usterką jego części od nowa, jeżeli wykonanie tych prac wraz z dotychczas poniesionymi przez Wykonawcę kosztami w ramach odpowiedzialności odszkodowawczej wynikającej</w:t>
      </w:r>
      <w:r w:rsidRPr="00765206">
        <w:rPr>
          <w:rFonts w:ascii="Calibri" w:hAnsi="Calibri" w:cs="Calibri"/>
          <w:i/>
          <w:sz w:val="20"/>
          <w:szCs w:val="20"/>
        </w:rPr>
        <w:br/>
        <w:t xml:space="preserve"> z Umowy, skutkowałoby przekroczeniem maksymalnej odpowiedzialności Wykonawcy zgodnie z § 6 ust. 7 Umowy. W takim przypadku Zamawiający może zlecić wykonanie przedmiotu umowy lub dotkniętej wadą lub usterką jego części od nowa (według własnego uznania), bez uprzedniej zgody sądu, osobie trzeciej </w:t>
      </w:r>
      <w:r w:rsidRPr="00765206">
        <w:rPr>
          <w:rFonts w:ascii="Calibri" w:hAnsi="Calibri" w:cs="Calibri"/>
          <w:i/>
          <w:sz w:val="20"/>
          <w:szCs w:val="20"/>
        </w:rPr>
        <w:br/>
        <w:t xml:space="preserve"> i obciążyć Wykonawcę kosztami tego wykonawstwa zastępczego, ale wyłącznie do wysokości maksymalnego ograniczenia odpowiedzialności kontraktowej Wykonawcy zgodnie z § 6 ust. 7 Umowy</w:t>
      </w:r>
      <w:r w:rsidRPr="00765206">
        <w:rPr>
          <w:rFonts w:ascii="Calibri" w:hAnsi="Calibri" w:cs="Calibri"/>
          <w:i/>
          <w:sz w:val="20"/>
          <w:szCs w:val="20"/>
        </w:rPr>
        <w:br/>
        <w:t xml:space="preserve"> i przy uwzględnieniu dotychczas poniesionych przez Wykonawcę kosztów.”</w:t>
      </w:r>
    </w:p>
    <w:p w:rsidR="00577476" w:rsidRPr="00765206" w:rsidRDefault="0057747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16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§ 11  ust. 2</w:t>
      </w:r>
      <w:r w:rsidRPr="00765206">
        <w:rPr>
          <w:rFonts w:ascii="Calibri" w:hAnsi="Calibri" w:cs="Calibri"/>
          <w:sz w:val="20"/>
          <w:szCs w:val="20"/>
        </w:rPr>
        <w:t xml:space="preserve"> -  Oferent wnosi o zmianę treści § 11 ust. 2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b/>
          <w:i/>
          <w:sz w:val="20"/>
          <w:szCs w:val="20"/>
        </w:rPr>
        <w:t>„</w:t>
      </w:r>
      <w:r w:rsidRPr="00765206">
        <w:rPr>
          <w:rFonts w:ascii="Calibri" w:hAnsi="Calibri" w:cs="Calibri"/>
          <w:i/>
          <w:sz w:val="20"/>
          <w:szCs w:val="20"/>
        </w:rPr>
        <w:t xml:space="preserve">Strony ustalają, że 70% wniesionego zabezpieczenia należytego wykonania umowy stanowi gwarancję zgodnego z umową i należytego wykonania przedmiotu umowy (ta część zabezpieczenia zostanie zwolniona w terminie 30 dni od dokonania </w:t>
      </w:r>
      <w:r w:rsidRPr="00765206">
        <w:rPr>
          <w:rFonts w:ascii="Calibri" w:hAnsi="Calibri" w:cs="Calibri"/>
          <w:i/>
          <w:strike/>
          <w:sz w:val="20"/>
          <w:szCs w:val="20"/>
        </w:rPr>
        <w:t>bezusterkowego</w:t>
      </w:r>
      <w:r w:rsidRPr="00765206">
        <w:rPr>
          <w:rFonts w:ascii="Calibri" w:hAnsi="Calibri" w:cs="Calibri"/>
          <w:i/>
          <w:sz w:val="20"/>
          <w:szCs w:val="20"/>
        </w:rPr>
        <w:t xml:space="preserve"> odbioru końcowego przedmiotu umowy oraz doręczenia Zamawiającemu dokumentów o których mowa w § 2 ust. 6, tj. uznania, że zamówienie zostało wykonane należycie, po ewentualnym pomniejszeniu o kwotę kar przewidzianych umową), natomiast pozostała część zabezpieczenia, tj. 30%, służy zabezpieczeniu roszczeń Zamawiającego z tytułu rękojmi  za wady (ta część zabezpieczenia zostanie zwolniona lub zwrócona w terminie do 15 dnia po upływie okresu rękojmi za wady, po ewentualnym pomniejszeniu o kwotę kar  przewidzianych umową).”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765206" w:rsidRDefault="00765206" w:rsidP="00577476">
      <w:pPr>
        <w:pStyle w:val="Akapitzlist"/>
        <w:ind w:left="0"/>
        <w:rPr>
          <w:rFonts w:ascii="Calibri" w:hAnsi="Calibri" w:cs="Calibri"/>
          <w:sz w:val="20"/>
          <w:szCs w:val="20"/>
        </w:rPr>
      </w:pPr>
    </w:p>
    <w:p w:rsidR="00577476" w:rsidRPr="00765206" w:rsidRDefault="00577476" w:rsidP="00577476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Pytanie nr 17</w:t>
      </w:r>
    </w:p>
    <w:p w:rsidR="00577476" w:rsidRPr="00765206" w:rsidRDefault="00577476" w:rsidP="00577476">
      <w:pPr>
        <w:pStyle w:val="Akapitzlist"/>
        <w:spacing w:before="0" w:after="200" w:line="276" w:lineRule="auto"/>
        <w:ind w:left="0"/>
        <w:contextualSpacing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§ 13  ust. 1</w:t>
      </w:r>
      <w:r w:rsidRPr="00765206">
        <w:rPr>
          <w:rFonts w:ascii="Calibri" w:hAnsi="Calibri" w:cs="Calibri"/>
          <w:sz w:val="20"/>
          <w:szCs w:val="20"/>
        </w:rPr>
        <w:t xml:space="preserve"> lit. c. -  Oferent wnosi o zmianę treści § 13 ust. 1 lit. c.</w:t>
      </w:r>
      <w:r w:rsidRPr="00765206">
        <w:rPr>
          <w:rFonts w:ascii="Calibri" w:hAnsi="Calibri" w:cs="Calibri"/>
          <w:b/>
          <w:sz w:val="20"/>
          <w:szCs w:val="20"/>
        </w:rPr>
        <w:t xml:space="preserve"> </w:t>
      </w:r>
      <w:r w:rsidRPr="00765206">
        <w:rPr>
          <w:rFonts w:ascii="Calibri" w:hAnsi="Calibri" w:cs="Calibri"/>
          <w:sz w:val="20"/>
          <w:szCs w:val="20"/>
        </w:rPr>
        <w:t>wzoru Umowy w sposób następujący: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„Zamawiającemu przysługuje, w terminie 30 dni od powzięcia wiadomości o opisanych poniżej okolicznościach, prawo do odstąpienia od umowy:</w:t>
      </w:r>
    </w:p>
    <w:p w:rsidR="00577476" w:rsidRPr="00765206" w:rsidRDefault="00577476" w:rsidP="00577476">
      <w:pPr>
        <w:pStyle w:val="Akapitzlist"/>
        <w:ind w:left="0"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>(...)</w:t>
      </w:r>
    </w:p>
    <w:p w:rsidR="00577476" w:rsidRPr="00765206" w:rsidRDefault="00577476" w:rsidP="00577476">
      <w:pPr>
        <w:pStyle w:val="Akapitzlist"/>
        <w:numPr>
          <w:ilvl w:val="0"/>
          <w:numId w:val="14"/>
        </w:numPr>
        <w:spacing w:before="0" w:after="200" w:line="276" w:lineRule="auto"/>
        <w:contextualSpacing/>
        <w:rPr>
          <w:rFonts w:ascii="Calibri" w:hAnsi="Calibri" w:cs="Calibri"/>
          <w:i/>
          <w:sz w:val="20"/>
          <w:szCs w:val="20"/>
        </w:rPr>
      </w:pPr>
      <w:r w:rsidRPr="00765206">
        <w:rPr>
          <w:rFonts w:ascii="Calibri" w:hAnsi="Calibri" w:cs="Calibri"/>
          <w:i/>
          <w:sz w:val="20"/>
          <w:szCs w:val="20"/>
        </w:rPr>
        <w:t xml:space="preserve">gdy Wykonawca nie rozpoczyna lub nie kontynuuje wykonania umowy przez okres dłuższy niż 14 dni lub gdy Wykonawca jest opóźniony w stosunku do terminów określonych w niniejszej umowie o co najmniej </w:t>
      </w:r>
      <w:r w:rsidRPr="00765206">
        <w:rPr>
          <w:rFonts w:ascii="Calibri" w:hAnsi="Calibri" w:cs="Calibri"/>
          <w:strike/>
          <w:sz w:val="20"/>
          <w:szCs w:val="20"/>
        </w:rPr>
        <w:t>7</w:t>
      </w:r>
      <w:r w:rsidRPr="00765206">
        <w:rPr>
          <w:rFonts w:ascii="Calibri" w:hAnsi="Calibri" w:cs="Calibri"/>
          <w:i/>
          <w:sz w:val="20"/>
          <w:szCs w:val="20"/>
        </w:rPr>
        <w:t xml:space="preserve"> ... dni,”</w:t>
      </w:r>
    </w:p>
    <w:p w:rsidR="00577476" w:rsidRPr="00765206" w:rsidRDefault="00577476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</w:p>
    <w:p w:rsidR="00765206" w:rsidRPr="00765206" w:rsidRDefault="00765206" w:rsidP="00765206">
      <w:pPr>
        <w:pStyle w:val="Akapitzlist"/>
        <w:ind w:left="0"/>
        <w:rPr>
          <w:rFonts w:ascii="Calibri" w:hAnsi="Calibri" w:cs="Calibri"/>
          <w:sz w:val="20"/>
          <w:szCs w:val="20"/>
        </w:rPr>
      </w:pPr>
      <w:r w:rsidRPr="00765206">
        <w:rPr>
          <w:rFonts w:ascii="Calibri" w:hAnsi="Calibri" w:cs="Calibri"/>
          <w:b/>
          <w:sz w:val="20"/>
          <w:szCs w:val="20"/>
        </w:rPr>
        <w:t>Odpowiedź</w:t>
      </w:r>
      <w:r w:rsidRPr="00765206">
        <w:rPr>
          <w:rFonts w:ascii="Calibri" w:hAnsi="Calibri" w:cs="Calibri"/>
          <w:sz w:val="20"/>
          <w:szCs w:val="20"/>
        </w:rPr>
        <w:t>: Nie.</w:t>
      </w:r>
    </w:p>
    <w:p w:rsidR="00765206" w:rsidRPr="00EF0D29" w:rsidRDefault="00765206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sz w:val="20"/>
          <w:szCs w:val="20"/>
        </w:rPr>
      </w:pPr>
    </w:p>
    <w:sectPr w:rsidR="00765206" w:rsidRPr="00EF0D29" w:rsidSect="00F64C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4DF" w:rsidRDefault="00DE04DF">
      <w:r>
        <w:separator/>
      </w:r>
    </w:p>
  </w:endnote>
  <w:endnote w:type="continuationSeparator" w:id="0">
    <w:p w:rsidR="00DE04DF" w:rsidRDefault="00DE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4DF" w:rsidRDefault="00DE04DF">
      <w:r>
        <w:separator/>
      </w:r>
    </w:p>
  </w:footnote>
  <w:footnote w:type="continuationSeparator" w:id="0">
    <w:p w:rsidR="00DE04DF" w:rsidRDefault="00DE0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6E9" w:rsidRDefault="006816E9" w:rsidP="006816E9">
    <w:pPr>
      <w:pStyle w:val="Stopka"/>
      <w:ind w:right="360"/>
      <w:jc w:val="center"/>
    </w:pPr>
    <w:r w:rsidRPr="00632BA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25.5pt;height:62.25pt;visibility:visible">
          <v:imagedata r:id="rId1" o:title=""/>
        </v:shape>
      </w:pict>
    </w:r>
  </w:p>
  <w:p w:rsidR="006816E9" w:rsidRDefault="006816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60294"/>
    <w:multiLevelType w:val="hybridMultilevel"/>
    <w:tmpl w:val="42BCAD38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6117D5"/>
    <w:multiLevelType w:val="hybridMultilevel"/>
    <w:tmpl w:val="F744AE3A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7A0F42"/>
    <w:multiLevelType w:val="hybridMultilevel"/>
    <w:tmpl w:val="B9BAA1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DD851AF"/>
    <w:multiLevelType w:val="multilevel"/>
    <w:tmpl w:val="C1EE4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24E67"/>
    <w:multiLevelType w:val="hybridMultilevel"/>
    <w:tmpl w:val="95C07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10"/>
  </w:num>
  <w:num w:numId="5">
    <w:abstractNumId w:val="14"/>
  </w:num>
  <w:num w:numId="6">
    <w:abstractNumId w:val="1"/>
  </w:num>
  <w:num w:numId="7">
    <w:abstractNumId w:val="3"/>
  </w:num>
  <w:num w:numId="8">
    <w:abstractNumId w:val="11"/>
  </w:num>
  <w:num w:numId="9">
    <w:abstractNumId w:val="6"/>
  </w:num>
  <w:num w:numId="10">
    <w:abstractNumId w:val="8"/>
  </w:num>
  <w:num w:numId="11">
    <w:abstractNumId w:val="5"/>
  </w:num>
  <w:num w:numId="12">
    <w:abstractNumId w:val="13"/>
  </w:num>
  <w:num w:numId="13">
    <w:abstractNumId w:val="2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03C0D"/>
    <w:rsid w:val="00120D54"/>
    <w:rsid w:val="00124F35"/>
    <w:rsid w:val="001465B6"/>
    <w:rsid w:val="00193066"/>
    <w:rsid w:val="001D4B05"/>
    <w:rsid w:val="00251275"/>
    <w:rsid w:val="00270801"/>
    <w:rsid w:val="002B1EF5"/>
    <w:rsid w:val="00351E84"/>
    <w:rsid w:val="00362C97"/>
    <w:rsid w:val="0037514F"/>
    <w:rsid w:val="003848D2"/>
    <w:rsid w:val="003F30EC"/>
    <w:rsid w:val="00403CA4"/>
    <w:rsid w:val="00403D7B"/>
    <w:rsid w:val="00423A92"/>
    <w:rsid w:val="004259A0"/>
    <w:rsid w:val="00470F06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476"/>
    <w:rsid w:val="00577541"/>
    <w:rsid w:val="005E4FEE"/>
    <w:rsid w:val="005E6966"/>
    <w:rsid w:val="005F3237"/>
    <w:rsid w:val="006346D2"/>
    <w:rsid w:val="00646A62"/>
    <w:rsid w:val="00667EBF"/>
    <w:rsid w:val="006816E9"/>
    <w:rsid w:val="00682B81"/>
    <w:rsid w:val="00694572"/>
    <w:rsid w:val="006D3033"/>
    <w:rsid w:val="006D6007"/>
    <w:rsid w:val="006F39F8"/>
    <w:rsid w:val="00700222"/>
    <w:rsid w:val="0070480F"/>
    <w:rsid w:val="007358ED"/>
    <w:rsid w:val="007640AA"/>
    <w:rsid w:val="00765206"/>
    <w:rsid w:val="00784FE8"/>
    <w:rsid w:val="007A2FFF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55C77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41042"/>
    <w:rsid w:val="00A5619B"/>
    <w:rsid w:val="00A8095D"/>
    <w:rsid w:val="00A82CE9"/>
    <w:rsid w:val="00A941E4"/>
    <w:rsid w:val="00B00793"/>
    <w:rsid w:val="00B0316C"/>
    <w:rsid w:val="00B16F59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72732"/>
    <w:rsid w:val="00D8310B"/>
    <w:rsid w:val="00D875A3"/>
    <w:rsid w:val="00D93C22"/>
    <w:rsid w:val="00DA72CC"/>
    <w:rsid w:val="00DB3C15"/>
    <w:rsid w:val="00DB4469"/>
    <w:rsid w:val="00DB6CEB"/>
    <w:rsid w:val="00DD5CBB"/>
    <w:rsid w:val="00DE04DF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EF0D29"/>
    <w:rsid w:val="00F203DE"/>
    <w:rsid w:val="00F268BB"/>
    <w:rsid w:val="00F30CFA"/>
    <w:rsid w:val="00F319E8"/>
    <w:rsid w:val="00F361AF"/>
    <w:rsid w:val="00F37887"/>
    <w:rsid w:val="00F62883"/>
    <w:rsid w:val="00F64C1E"/>
    <w:rsid w:val="00F84128"/>
    <w:rsid w:val="00F85AAA"/>
    <w:rsid w:val="00FE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3EE9D97-83BE-4E21-AF78-EAC86F22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table" w:styleId="Tabela-Siatka">
    <w:name w:val="Table Grid"/>
    <w:basedOn w:val="Standardowy"/>
    <w:uiPriority w:val="39"/>
    <w:locked/>
    <w:rsid w:val="00B007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577476"/>
    <w:pPr>
      <w:spacing w:before="0" w:after="200" w:line="276" w:lineRule="auto"/>
      <w:ind w:left="720"/>
      <w:jc w:val="left"/>
    </w:pPr>
    <w:rPr>
      <w:rFonts w:ascii="Calibri" w:hAnsi="Calibri" w:cs="Calibri"/>
      <w:kern w:val="22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97AF1-D9EA-4BBE-8F9F-377EBF11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11</Pages>
  <Words>3400</Words>
  <Characters>20405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40</cp:revision>
  <cp:lastPrinted>2017-04-11T10:35:00Z</cp:lastPrinted>
  <dcterms:created xsi:type="dcterms:W3CDTF">2017-03-06T10:28:00Z</dcterms:created>
  <dcterms:modified xsi:type="dcterms:W3CDTF">2017-06-01T11:00:00Z</dcterms:modified>
</cp:coreProperties>
</file>