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C8B2F" w14:textId="77777777" w:rsidR="00712F06" w:rsidRDefault="00712F06" w:rsidP="00712F06">
      <w:pPr>
        <w:widowControl/>
        <w:shd w:val="clear" w:color="auto" w:fill="FFFFFF"/>
        <w:spacing w:line="360" w:lineRule="auto"/>
        <w:jc w:val="right"/>
        <w:textAlignment w:val="baseline"/>
        <w:outlineLvl w:val="4"/>
        <w:rPr>
          <w:rFonts w:ascii="Verdana" w:eastAsia="Times New Roman" w:hAnsi="Verdana" w:cs="Times New Roman"/>
          <w:color w:val="171C24"/>
          <w:sz w:val="18"/>
          <w:szCs w:val="18"/>
          <w:lang w:eastAsia="pl-PL" w:bidi="ar-SA"/>
        </w:rPr>
      </w:pPr>
    </w:p>
    <w:p w14:paraId="4CA46C01" w14:textId="77777777" w:rsidR="00712F06" w:rsidRDefault="00712F06" w:rsidP="00712F06">
      <w:pPr>
        <w:widowControl/>
        <w:shd w:val="clear" w:color="auto" w:fill="FFFFFF"/>
        <w:spacing w:line="360" w:lineRule="auto"/>
        <w:jc w:val="right"/>
        <w:textAlignment w:val="baseline"/>
        <w:outlineLvl w:val="4"/>
        <w:rPr>
          <w:rFonts w:ascii="Verdana" w:eastAsia="Times New Roman" w:hAnsi="Verdana" w:cs="Times New Roman"/>
          <w:color w:val="171C24"/>
          <w:sz w:val="18"/>
          <w:szCs w:val="18"/>
          <w:lang w:eastAsia="pl-PL" w:bidi="ar-SA"/>
        </w:rPr>
      </w:pPr>
      <w:r w:rsidRPr="00F122B5">
        <w:rPr>
          <w:rFonts w:ascii="Verdana" w:eastAsia="Times New Roman" w:hAnsi="Verdana" w:cs="Times New Roman"/>
          <w:color w:val="171C24"/>
          <w:sz w:val="18"/>
          <w:szCs w:val="18"/>
          <w:lang w:eastAsia="pl-PL" w:bidi="ar-SA"/>
        </w:rPr>
        <w:t xml:space="preserve">Załącznik do zarządzenia nr </w:t>
      </w:r>
      <w:r>
        <w:rPr>
          <w:rFonts w:ascii="Verdana" w:eastAsia="Times New Roman" w:hAnsi="Verdana" w:cs="Times New Roman"/>
          <w:color w:val="171C24"/>
          <w:sz w:val="18"/>
          <w:szCs w:val="18"/>
          <w:lang w:eastAsia="pl-PL" w:bidi="ar-SA"/>
        </w:rPr>
        <w:t>18</w:t>
      </w:r>
      <w:r w:rsidRPr="00F122B5">
        <w:rPr>
          <w:rFonts w:ascii="Verdana" w:eastAsia="Times New Roman" w:hAnsi="Verdana" w:cs="Times New Roman"/>
          <w:color w:val="171C24"/>
          <w:sz w:val="18"/>
          <w:szCs w:val="18"/>
          <w:lang w:eastAsia="pl-PL" w:bidi="ar-SA"/>
        </w:rPr>
        <w:t>/202</w:t>
      </w:r>
      <w:r>
        <w:rPr>
          <w:rFonts w:ascii="Verdana" w:eastAsia="Times New Roman" w:hAnsi="Verdana" w:cs="Times New Roman"/>
          <w:color w:val="171C24"/>
          <w:sz w:val="18"/>
          <w:szCs w:val="18"/>
          <w:lang w:eastAsia="pl-PL" w:bidi="ar-SA"/>
        </w:rPr>
        <w:t>5</w:t>
      </w:r>
      <w:r>
        <w:rPr>
          <w:rFonts w:ascii="Verdana" w:eastAsia="Times New Roman" w:hAnsi="Verdana" w:cs="Times New Roman"/>
          <w:color w:val="171C24"/>
          <w:sz w:val="18"/>
          <w:szCs w:val="18"/>
          <w:lang w:eastAsia="pl-PL" w:bidi="ar-SA"/>
        </w:rPr>
        <w:br/>
      </w:r>
      <w:r w:rsidRPr="00F122B5">
        <w:rPr>
          <w:rFonts w:ascii="Verdana" w:eastAsia="Times New Roman" w:hAnsi="Verdana" w:cs="Times New Roman"/>
          <w:color w:val="171C24"/>
          <w:sz w:val="18"/>
          <w:szCs w:val="18"/>
          <w:lang w:eastAsia="pl-PL" w:bidi="ar-SA"/>
        </w:rPr>
        <w:t xml:space="preserve"> Dyrektora Miejskiego Ośrodka Pomocy Społecznej  </w:t>
      </w:r>
    </w:p>
    <w:p w14:paraId="5AD04BB6" w14:textId="77777777" w:rsidR="00712F06" w:rsidRPr="00F122B5" w:rsidRDefault="00712F06" w:rsidP="00712F06">
      <w:pPr>
        <w:widowControl/>
        <w:shd w:val="clear" w:color="auto" w:fill="FFFFFF"/>
        <w:spacing w:line="360" w:lineRule="auto"/>
        <w:jc w:val="right"/>
        <w:textAlignment w:val="baseline"/>
        <w:outlineLvl w:val="4"/>
        <w:rPr>
          <w:rFonts w:ascii="Verdana" w:eastAsia="Times New Roman" w:hAnsi="Verdana" w:cs="Times New Roman"/>
          <w:color w:val="171C24"/>
          <w:sz w:val="18"/>
          <w:szCs w:val="18"/>
          <w:lang w:eastAsia="pl-PL" w:bidi="ar-SA"/>
        </w:rPr>
      </w:pPr>
      <w:r w:rsidRPr="00F122B5">
        <w:rPr>
          <w:rFonts w:ascii="Verdana" w:eastAsia="Times New Roman" w:hAnsi="Verdana" w:cs="Times New Roman"/>
          <w:color w:val="171C24"/>
          <w:sz w:val="18"/>
          <w:szCs w:val="18"/>
          <w:lang w:eastAsia="pl-PL" w:bidi="ar-SA"/>
        </w:rPr>
        <w:t xml:space="preserve">z dnia </w:t>
      </w:r>
      <w:r>
        <w:rPr>
          <w:rFonts w:ascii="Verdana" w:eastAsia="Times New Roman" w:hAnsi="Verdana" w:cs="Times New Roman"/>
          <w:color w:val="171C24"/>
          <w:sz w:val="18"/>
          <w:szCs w:val="18"/>
          <w:lang w:eastAsia="pl-PL" w:bidi="ar-SA"/>
        </w:rPr>
        <w:t>28 listopada</w:t>
      </w:r>
      <w:r w:rsidRPr="00F122B5">
        <w:rPr>
          <w:rFonts w:ascii="Verdana" w:eastAsia="Times New Roman" w:hAnsi="Verdana" w:cs="Times New Roman"/>
          <w:color w:val="171C24"/>
          <w:sz w:val="18"/>
          <w:szCs w:val="18"/>
          <w:lang w:eastAsia="pl-PL" w:bidi="ar-SA"/>
        </w:rPr>
        <w:t xml:space="preserve"> 202</w:t>
      </w:r>
      <w:r>
        <w:rPr>
          <w:rFonts w:ascii="Verdana" w:eastAsia="Times New Roman" w:hAnsi="Verdana" w:cs="Times New Roman"/>
          <w:color w:val="171C24"/>
          <w:sz w:val="18"/>
          <w:szCs w:val="18"/>
          <w:lang w:eastAsia="pl-PL" w:bidi="ar-SA"/>
        </w:rPr>
        <w:t>5</w:t>
      </w:r>
      <w:r w:rsidRPr="00F122B5">
        <w:rPr>
          <w:rFonts w:ascii="Verdana" w:eastAsia="Times New Roman" w:hAnsi="Verdana" w:cs="Times New Roman"/>
          <w:color w:val="171C24"/>
          <w:sz w:val="18"/>
          <w:szCs w:val="18"/>
          <w:lang w:eastAsia="pl-PL" w:bidi="ar-SA"/>
        </w:rPr>
        <w:t>r</w:t>
      </w:r>
    </w:p>
    <w:p w14:paraId="03F56DCC" w14:textId="77777777" w:rsidR="00712F06" w:rsidRDefault="00712F06" w:rsidP="00712F06">
      <w:pPr>
        <w:widowControl/>
        <w:shd w:val="clear" w:color="auto" w:fill="FFFFFF"/>
        <w:spacing w:line="360" w:lineRule="auto"/>
        <w:jc w:val="center"/>
        <w:textAlignment w:val="baseline"/>
        <w:outlineLvl w:val="4"/>
        <w:rPr>
          <w:rFonts w:ascii="Verdana" w:eastAsia="Times New Roman" w:hAnsi="Verdana" w:cs="Times New Roman"/>
          <w:color w:val="171C24"/>
          <w:sz w:val="22"/>
          <w:szCs w:val="22"/>
          <w:lang w:eastAsia="pl-PL" w:bidi="ar-SA"/>
        </w:rPr>
      </w:pPr>
    </w:p>
    <w:p w14:paraId="7981D511" w14:textId="77777777" w:rsidR="00712F06" w:rsidRDefault="00712F06" w:rsidP="00712F06">
      <w:pPr>
        <w:widowControl/>
        <w:shd w:val="clear" w:color="auto" w:fill="FFFFFF"/>
        <w:spacing w:line="360" w:lineRule="auto"/>
        <w:jc w:val="center"/>
        <w:textAlignment w:val="baseline"/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</w:pP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Dyrektor Miejskiego Ośrodka Pomocy Społecznej w Ostrowi Mazowieckiej</w:t>
      </w: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br/>
        <w:t xml:space="preserve">ogłasza otwarty konkurs ofert na realizację zadania publicznego z zakresu pomocy społecznej –  świadczenie usług opiekuńczych na terenie </w:t>
      </w:r>
    </w:p>
    <w:p w14:paraId="04D7E298" w14:textId="77777777" w:rsidR="00712F06" w:rsidRPr="00984C8A" w:rsidRDefault="00712F06" w:rsidP="00712F06">
      <w:pPr>
        <w:widowControl/>
        <w:shd w:val="clear" w:color="auto" w:fill="FFFFFF"/>
        <w:spacing w:line="360" w:lineRule="auto"/>
        <w:jc w:val="center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Miasta Ostrów Mazowiecka w 202</w:t>
      </w:r>
      <w:r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6</w:t>
      </w: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 xml:space="preserve"> roku.</w:t>
      </w:r>
    </w:p>
    <w:p w14:paraId="691C869B" w14:textId="77777777" w:rsidR="00712F06" w:rsidRPr="00EB083B" w:rsidRDefault="00712F06" w:rsidP="00712F06">
      <w:pPr>
        <w:widowControl/>
        <w:shd w:val="clear" w:color="auto" w:fill="FFFFFF"/>
        <w:spacing w:line="360" w:lineRule="auto"/>
        <w:ind w:firstLine="709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Na podstawie art. 25 ustawy z dnia 12 marca 2004 r. o pomocy społecznej (</w:t>
      </w:r>
      <w:proofErr w:type="spellStart"/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t.j</w:t>
      </w:r>
      <w:proofErr w:type="spellEnd"/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. Dz. U. z 202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5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 r. poz. 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1214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 z </w:t>
      </w:r>
      <w:proofErr w:type="spellStart"/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późn</w:t>
      </w:r>
      <w:proofErr w:type="spellEnd"/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. zm.) w związku z art. 11 ust. 1 i 2 oraz art. 13 ustawy z dnia 24 kwietnia 2003 r. o działalności pożytku publicznego i o wolontariacie (</w:t>
      </w:r>
      <w:proofErr w:type="spellStart"/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t.j</w:t>
      </w:r>
      <w:proofErr w:type="spellEnd"/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. Dz. U. z 202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5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 r. poz. 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1338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),</w:t>
      </w:r>
    </w:p>
    <w:p w14:paraId="0664DAA7" w14:textId="77777777" w:rsidR="00712F06" w:rsidRPr="00EB083B" w:rsidRDefault="00712F06" w:rsidP="00712F06">
      <w:pPr>
        <w:widowControl/>
        <w:shd w:val="clear" w:color="auto" w:fill="FFFFFF"/>
        <w:spacing w:line="360" w:lineRule="auto"/>
        <w:ind w:firstLine="709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Przedmiotem konkursu jest wyłonienie podmiotu, któremu zostanie zlecona realizacja zadania publicznego w zakresie świadczenia usług opiekuńczych na terenie Miasta Ostrów Mazowiecka w 202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6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 xml:space="preserve"> roku. Zlecenie realizacji zadania publicznego nastąpi w formie jego powierzenia wraz z udzieleniem dotacji na finansowanie realizacji.</w:t>
      </w:r>
    </w:p>
    <w:p w14:paraId="6624F32F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Oferta skierowana jest do organizacji pozarządowych, o których mowa w art. 3 ust. 2 ustawy z dnia 24 kwietnia 2003 r. o działalności pożytku publicznego i o wolontariacie oraz podmiotów wymienionych w art. 3 ust. 3 tej ustawy, prowadzących działalność w zakresie pomocy społecznej.</w:t>
      </w:r>
    </w:p>
    <w:p w14:paraId="32924CF5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I.   Rodzaj zadania.</w:t>
      </w:r>
    </w:p>
    <w:p w14:paraId="319F28A6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1. Zadaniem pomocy społecznej objętym niniejszym konkursem jest zapewnienie usług opiekuńczych świadczonych w miejscu zamieszkania na rzecz osób samotnych z terenu Miasta Ostrów Mazowiecka, które z powodu wieku, choroby lub innych przyczyn wymagają pomocy innych osób, a są jej pozbawione oraz osób, które wymagają pomocy innych osób, a rodzina, a także wspólnie zamieszkujący małżonek, wstępni, zstępni nie mogą takiej pomocy zapewnić.</w:t>
      </w:r>
    </w:p>
    <w:p w14:paraId="41E73362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2. Zgodnie z art. 50 ust. 3 ustawy o pomocy społecznej usługi opiekuńcze obejmują pomoc w zaspokajaniu codziennych potrzeb życiowych, opiekę higieniczną, zalecaną przez lekarza, pielęgnację oraz w miarę możliwości zapewnienie kontaktów z otoczeniem.</w:t>
      </w:r>
    </w:p>
    <w:p w14:paraId="5DAB1097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3. Podstawą przyznania usług opiekuńczych dla poszczególnych osób jest decyzja administracyjna wydana przez Dyrektora Miejskiego Ośrodka Pomocy Społecznej w Ostrowi Mazowieckiej. W decyzjach ustalone zostanie miejsce, wymiar godzin, zakres i okres świadczenia usług. Pod pojęciem wymiaru godzin świadczenia usług należy rozumieć wyłącznie rzeczywisty czas świadczenia usług bez czynności przygotowawczych np. dojazdów do osób objętych pomocą.</w:t>
      </w:r>
    </w:p>
    <w:p w14:paraId="06A85078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4. Prognozowana średniomiesięczna ilość godzin usług opiekuńczych: </w:t>
      </w:r>
      <w:r>
        <w:rPr>
          <w:rFonts w:ascii="Verdana" w:eastAsia="Times New Roman" w:hAnsi="Verdana" w:cs="Times New Roman"/>
          <w:color w:val="282828"/>
          <w:sz w:val="22"/>
          <w:szCs w:val="22"/>
          <w:bdr w:val="none" w:sz="0" w:space="0" w:color="auto" w:frame="1"/>
          <w:lang w:eastAsia="pl-PL" w:bidi="ar-SA"/>
        </w:rPr>
        <w:t>724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bdr w:val="none" w:sz="0" w:space="0" w:color="auto" w:frame="1"/>
          <w:lang w:eastAsia="pl-PL" w:bidi="ar-SA"/>
        </w:rPr>
        <w:t>.</w:t>
      </w:r>
    </w:p>
    <w:p w14:paraId="0223B662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lastRenderedPageBreak/>
        <w:t>5. Usługi opiekuńcze wykonywane będą w miejscu zamieszkania podopiecznych, w dni powszednie,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 xml:space="preserve"> 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a w szczególnych przypadkach w soboty, niedziele i święta.</w:t>
      </w:r>
    </w:p>
    <w:p w14:paraId="2F187637" w14:textId="77777777" w:rsidR="00712F06" w:rsidRPr="00BB7BA1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EE0000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6. Zaoferowana ogólna liczba godzin opiekuńczych świadczonych w dni powszednie nie może być niższa niż </w:t>
      </w:r>
      <w:r w:rsidRPr="00B50B1C">
        <w:rPr>
          <w:rFonts w:ascii="Verdana" w:eastAsia="Times New Roman" w:hAnsi="Verdana" w:cs="Times New Roman"/>
          <w:sz w:val="22"/>
          <w:szCs w:val="22"/>
          <w:bdr w:val="none" w:sz="0" w:space="0" w:color="auto" w:frame="1"/>
          <w:lang w:eastAsia="pl-PL" w:bidi="ar-SA"/>
        </w:rPr>
        <w:t>8000</w:t>
      </w:r>
    </w:p>
    <w:p w14:paraId="587BE0B1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 xml:space="preserve">7. Zaoferowana ogólna liczba godzin opiekuńczych świadczonych w soboty, niedziele i święta nie może być niższa </w:t>
      </w:r>
      <w:r w:rsidRPr="00B50B1C">
        <w:rPr>
          <w:rFonts w:ascii="Verdana" w:eastAsia="Times New Roman" w:hAnsi="Verdana" w:cs="Times New Roman"/>
          <w:sz w:val="22"/>
          <w:szCs w:val="22"/>
          <w:lang w:eastAsia="pl-PL" w:bidi="ar-SA"/>
        </w:rPr>
        <w:t>niż </w:t>
      </w:r>
      <w:r w:rsidRPr="00B50B1C">
        <w:rPr>
          <w:rFonts w:ascii="Verdana" w:eastAsia="Times New Roman" w:hAnsi="Verdana" w:cs="Times New Roman"/>
          <w:sz w:val="22"/>
          <w:szCs w:val="22"/>
          <w:bdr w:val="none" w:sz="0" w:space="0" w:color="auto" w:frame="1"/>
          <w:lang w:eastAsia="pl-PL" w:bidi="ar-SA"/>
        </w:rPr>
        <w:t>688</w:t>
      </w:r>
    </w:p>
    <w:p w14:paraId="2367C670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8. Miejsce świadczenia usług: miejsce zamieszkania osób, którym pomoc jest udzielana, wskazane z decyzji administracyjnej.</w:t>
      </w:r>
    </w:p>
    <w:p w14:paraId="5F346BE3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9. Usługi opiekuńcze obejmują:</w:t>
      </w:r>
    </w:p>
    <w:p w14:paraId="791BBBF4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1) Pomoc w zaspokajaniu codziennych potrzeb życiowych, w szczególności:</w:t>
      </w:r>
    </w:p>
    <w:p w14:paraId="38066D56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– pomoc w utrzymaniu w czystości pomieszczeń i sprzętów użytkowanych przez osobę korzystającą z pomocy poprzez wykonywanie bieżących porządków, w tym również mycie okien,</w:t>
      </w:r>
    </w:p>
    <w:p w14:paraId="699D5315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– zakupy artykułów spożywczych i innych niezbędnych w gospodarstwie domowym,</w:t>
      </w:r>
    </w:p>
    <w:p w14:paraId="53893A79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– przygotowywanie posiłków z uwzględnieniem diety zaleconej przez lekarza,</w:t>
      </w:r>
    </w:p>
    <w:p w14:paraId="529518BC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– przynoszenie obiadów zgodnie z wydaną decyzją administracyjną,</w:t>
      </w:r>
    </w:p>
    <w:p w14:paraId="3CE2C9E6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– załatwianie bieżących spraw w zależności od potrzeb.</w:t>
      </w:r>
    </w:p>
    <w:p w14:paraId="63686215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2) Opiekę higieniczną, w szczególności:</w:t>
      </w:r>
    </w:p>
    <w:p w14:paraId="36879E30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– pomoc w utrzymaniu higieny osobistej (mycie, kąpanie, czesanie),</w:t>
      </w:r>
    </w:p>
    <w:p w14:paraId="0BCC7A1F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– pranie i zmiana bielizny osobistej i pościelowej,</w:t>
      </w:r>
    </w:p>
    <w:p w14:paraId="3E75B334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– ścielenie łóżka.</w:t>
      </w:r>
    </w:p>
    <w:p w14:paraId="4468B7B8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3) Zaleconą przez lekarza pielęgnację, w szczególności:</w:t>
      </w:r>
    </w:p>
    <w:p w14:paraId="005CE1EB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– zapobieganie powstawaniu odleżyn i </w:t>
      </w:r>
      <w:proofErr w:type="spellStart"/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odparzeń</w:t>
      </w:r>
      <w:proofErr w:type="spellEnd"/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,</w:t>
      </w:r>
    </w:p>
    <w:p w14:paraId="0653A035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– zakładanie i zmiana wyrobu chłonnego u osoby leżącej,</w:t>
      </w:r>
    </w:p>
    <w:p w14:paraId="5135CEB2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– układanie chorego w łóżku i pomaganie przy zmianie pozycji,</w:t>
      </w:r>
    </w:p>
    <w:p w14:paraId="184768C8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– karmienie lub pomoc przy spożywaniu posiłków,</w:t>
      </w:r>
    </w:p>
    <w:p w14:paraId="068B7363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– stosowanie okładów, kompresów,</w:t>
      </w:r>
    </w:p>
    <w:p w14:paraId="2ED64F51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– podawanie leków według zaleceń lekarza.</w:t>
      </w:r>
    </w:p>
    <w:p w14:paraId="6EADB2A9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4) Zapewnienie kontaktów z otoczeniem, w szczególności:</w:t>
      </w:r>
    </w:p>
    <w:p w14:paraId="18ABEE3D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– organizowanie spacerów,</w:t>
      </w:r>
    </w:p>
    <w:p w14:paraId="16DF62EB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– organizowanie kontaktów sąsiedzkich,</w:t>
      </w:r>
    </w:p>
    <w:p w14:paraId="12E29329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– zamawianie wizyt lekarskich,</w:t>
      </w:r>
    </w:p>
    <w:p w14:paraId="193451CE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– realizacja recept,</w:t>
      </w:r>
    </w:p>
    <w:p w14:paraId="07331160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– załatwianie spraw urzędowych.</w:t>
      </w:r>
    </w:p>
    <w:p w14:paraId="4D2E3291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10. 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bdr w:val="none" w:sz="0" w:space="0" w:color="auto" w:frame="1"/>
          <w:lang w:eastAsia="pl-PL" w:bidi="ar-SA"/>
        </w:rPr>
        <w:t>Usługi opiekuńcze nie obejmują prac ogrodowych i prac porządkowych na podwórku</w:t>
      </w: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,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 wyjątkiem jest, w uzasadnionych przypadkach,  przyniesienie opału z miejsca jego składowania do mieszkania osoby, na rzecz której świadczone są usługi opiekuńcze.</w:t>
      </w:r>
    </w:p>
    <w:p w14:paraId="0056C257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lastRenderedPageBreak/>
        <w:t>11. Realizacja usług opiekuńczych nie obejmuje zakupu, przez podmiot realizujący zadanie, sprzętu, rehabilitacyjnego środków higienicznych np. pampersów czy żywności itp. dla osób, na rzecz których realizowane będą usługi opiekuńcze.</w:t>
      </w:r>
    </w:p>
    <w:p w14:paraId="1B6A3908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12. Usługi opiekuńcze w miejscu zamieszkania nie mogą być świadczone przez:</w:t>
      </w:r>
    </w:p>
    <w:p w14:paraId="551AAEF0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1) osoby zamieszkałe pod tym samem adresem z osobą, na rzecz której świadczone są usługi opiekuńcze;</w:t>
      </w:r>
    </w:p>
    <w:p w14:paraId="7BB61CE7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2) osoby spokrewnione w linii pierwszej pierwszego i drugiego stopnia pokrewieństwa tj. dziadek, babka, ojciec, matka, rodzice, syn, córka, wnuk, wnuczka dziecko a także w linii bocznej drugiego stopnia pokrewieństwa tj. brat, siostra, rodzeństwo.</w:t>
      </w:r>
    </w:p>
    <w:p w14:paraId="147FC374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Zakres usług będzie dostosowywany do indywidualnych potrzeb osoby, na rzecz której usługi są świadczone.</w:t>
      </w:r>
    </w:p>
    <w:p w14:paraId="047A0499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II.  Wysokość środków publicznych przeznaczonych na realizację zadania.</w:t>
      </w:r>
    </w:p>
    <w:p w14:paraId="580F11AF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W projekcie budżetu na 202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6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 rok przewiduje się przyjęcie kwoty dotacji w wysokości </w:t>
      </w: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3</w:t>
      </w:r>
      <w:r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7</w:t>
      </w: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0 000,00 zł. 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Ostateczna kwota dotacji ustalona zostanie po przyjęciu przez Radę Miasta Ostrów Mazowiecka uchwały budżetowej na 202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6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 rok. W uzasadnionych przypadkach, w trakcie realizacji zadania, kwota przeznaczona na realizację zadania może ulec zwiększeniu.</w:t>
      </w:r>
    </w:p>
    <w:p w14:paraId="552657F1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III.  Zasady przyznawania dotacji.</w:t>
      </w:r>
    </w:p>
    <w:p w14:paraId="3B088B92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1. Postępowanie w sprawie ogłoszenia otwartego konkursu ofert odbywać się będzie zgodnie z zasadami określonymi w ustawie o działalności pożytku publicznego i o wolontariacie.</w:t>
      </w:r>
    </w:p>
    <w:p w14:paraId="51DF43C5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2. Złożenie oferty nie jest równoznaczne z przyznaniem dotacji lub przyznaniem dotacji w oczekiwanej wysokości.</w:t>
      </w:r>
    </w:p>
    <w:p w14:paraId="7D37AD56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3. Dotacja zostanie przyznana podmiotowi wyłonionemu w drodze otwartego konkursu, który złożył najkorzystniejszą ofertę, na druku zgodnym ze wzorem stanowiącym załącznik nr 1 Rozporządzenia Przewodniczącego Komitetu do spraw Pożytku Publicznego z dnia 24 października 2018 r. w sprawie wzorów ofert i ramowych wzorów umów dotyczących realizacji zadań publicznych oraz wzorów sprawozdań z wykonania tych zadań.</w:t>
      </w:r>
    </w:p>
    <w:p w14:paraId="5C01B51A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 xml:space="preserve">4. Przekazanie dotacji następuje na podstawie umowy o powierzeniu realizacji zadania publicznego według wzoru określonego w załączniku nr 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2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 do Rozporządzenia Przewodniczącego Komitetu do spraw Pożytku Publicznego z dnia 24 października 2018 r. w sprawie wzorów ofert i ramowych wzorów umów dotyczących realizacji zadań publicznych oraz wzorów sprawozdań z wykonania tych zadań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 xml:space="preserve"> stanowiący załącznik nr 3.</w:t>
      </w:r>
    </w:p>
    <w:p w14:paraId="488D7FD6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5. Dyrektor MOPS może odmówić podmiotowi wyłonionemu w konkursie podpisania z nim umowy lub cofnąć dotację w przypadku, gdy:</w:t>
      </w:r>
    </w:p>
    <w:p w14:paraId="776E02F7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1) rzeczywisty zakres zadania znacząco odbiega od opisanego w ofercie;</w:t>
      </w:r>
    </w:p>
    <w:p w14:paraId="5274AFD8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2) podmiot lub jego reprezentanci utracili zdolność do czynności prawnych;</w:t>
      </w:r>
    </w:p>
    <w:p w14:paraId="618AE3E2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3) zostały ujawnione nieznane wcześniej okoliczności podważające wiarygodność merytoryczną lub finansową oferenta;</w:t>
      </w:r>
    </w:p>
    <w:p w14:paraId="28553CF4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lastRenderedPageBreak/>
        <w:t>4) podmiot nie dysponuje rachunkiem bankowym dla przyjęcia dotacji.</w:t>
      </w:r>
    </w:p>
    <w:p w14:paraId="69102D09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6. Z dotacji mogą być pokrywane wyłącznie wydatki bezpośrednio związane z realizacją zadania.</w:t>
      </w:r>
    </w:p>
    <w:p w14:paraId="2C9CAEA7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7. Środki pochodzące z dotacji nie mogą być wykorzystane na:</w:t>
      </w:r>
    </w:p>
    <w:p w14:paraId="11E5043A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1) wydatki inwestycyjne;</w:t>
      </w:r>
    </w:p>
    <w:p w14:paraId="19DFEA75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2) zakup gruntów;</w:t>
      </w:r>
    </w:p>
    <w:p w14:paraId="3E32459F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3) działalność gospodarczą;</w:t>
      </w:r>
    </w:p>
    <w:p w14:paraId="29A5CAAA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4) działalność polityczną i religijną;</w:t>
      </w:r>
    </w:p>
    <w:p w14:paraId="585CB6CB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5) świadczenia socjalne, nagrody i premie dla pracowników;</w:t>
      </w:r>
    </w:p>
    <w:p w14:paraId="77DD7E2E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6) wydatki na realizację zadania niedotyczące okresu obowiązywania umowy, w szczególności na pokrycie zobowiązań.</w:t>
      </w:r>
    </w:p>
    <w:p w14:paraId="073EB542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IV. Zasady finansowania zadania</w:t>
      </w:r>
    </w:p>
    <w:p w14:paraId="0BBC52E9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1. Podmiot wskazuje w ofercie:</w:t>
      </w:r>
    </w:p>
    <w:p w14:paraId="52C57562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1) w części merytorycznej:</w:t>
      </w:r>
    </w:p>
    <w:p w14:paraId="7C35080A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a) kwotę brutto za 1 godzinę świadczenia usług opiekuńczych w dni powszednie, oferowaną przez niego ilość godzin świadczenia usług opiekuńczych w dni powszednie oraz ich wartość brutto;</w:t>
      </w:r>
    </w:p>
    <w:p w14:paraId="198266DD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b) kwotę brutto za 1 godzinę świadczenia usług opiekuńczych w soboty, niedziele i święta, oferowaną przez niego ilość godzin świadczenia usług opiekuńczych w soboty, niedziele i święta oraz ich wartość brutto;</w:t>
      </w:r>
    </w:p>
    <w:p w14:paraId="3AB0F03F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c) kwotę wydatków merytorycznych do zadania np. środków ochrony osobistej, jednak nie może ona być wyższa nić 2% wartości ogólnej sumy usług opiekuńczych.</w:t>
      </w:r>
    </w:p>
    <w:p w14:paraId="30FD7110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2) W części dotyczącej obsługi administracyjnej:</w:t>
      </w:r>
    </w:p>
    <w:p w14:paraId="05E733EE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 xml:space="preserve">a) Kwotę wydatków związanych z obsługą i kosztami administracyjnymi, z tym że kwota ta nie może być wyższa  niż </w:t>
      </w:r>
      <w:r w:rsidRPr="006E2773">
        <w:rPr>
          <w:rFonts w:ascii="Verdana" w:eastAsia="Times New Roman" w:hAnsi="Verdana" w:cs="Times New Roman"/>
          <w:sz w:val="22"/>
          <w:szCs w:val="22"/>
          <w:lang w:eastAsia="pl-PL" w:bidi="ar-SA"/>
        </w:rPr>
        <w:t xml:space="preserve">20% 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wartości całego zadania.</w:t>
      </w:r>
    </w:p>
    <w:p w14:paraId="11BFDF05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2. 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bdr w:val="none" w:sz="0" w:space="0" w:color="auto" w:frame="1"/>
          <w:lang w:eastAsia="pl-PL" w:bidi="ar-SA"/>
        </w:rPr>
        <w:t>Podmiot składający ofertę nie wykazuje wkładu własnego w żadnej formie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.</w:t>
      </w:r>
    </w:p>
    <w:p w14:paraId="08DB8714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V.  Rozliczanie zadania publicznego</w:t>
      </w:r>
    </w:p>
    <w:p w14:paraId="68D9CFF2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1. Podmiot realizujący zadanie zobowiązany jest do przedstawiania w formie pisemnej miesięcznych harmonogramów wykonywania zadania zawierających następujące informacje: wskazanie osoby, na rzecz której wykonywane będą usługi, wskazanie osoby wykonującej usługi ze strony podmiotu realizującego zadanie, dokładny termin obejmujący datę i godziny w jakich usługi będą wykonywane, u konkretnie wskazanych osób. Harmonogram musi być przekazywany co miesiąc, najpóźniej ostatniego dnia roboczego przed pierwszym dniem miesiąca, którego harmonogram będzie dotyczył. O wszelkich zmianach w przedstawionych harmonogramach podmiot realizujący zadanie musi niezwłocznie i skutecznie poinformować MOPS.</w:t>
      </w:r>
    </w:p>
    <w:p w14:paraId="070B7446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2. Rozliczenia finansowe będą się odbywać w następujący sposób:</w:t>
      </w:r>
    </w:p>
    <w:p w14:paraId="5D78507C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lastRenderedPageBreak/>
        <w:t>1) miesięczne transze dotacji wypłacane będą w terminie do dnia 20 każdego miesiąca, zgodnie z ilością godzin wynikających z decyzji, wydanych przez Dyrektora Miejskiego Ośrodka Pomocy Społecznej w Ostrowi Mazowieckiej na dany miesiąc.</w:t>
      </w:r>
    </w:p>
    <w:p w14:paraId="6BB48195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2) do dnia 10 każdego miesiąca, podmiot realizujący zadanie zobowiązany jest do złożenia w formie pisemnej, informacji o ilości godzin usług opiekuńczych zrealizowanych w poprzednim miesiącu wraz z wykazem obejmującym czas pracy opiekunów, daty, terminy wykonywania usług opiekuńczych i ich ilość dla poszczególnych osób, na rzecz których świadczone będą usługi. MOPS może żądać przedstawienia dokumentów na potwierdzenie danych zawartych w przedstawionym wykazie.</w:t>
      </w:r>
    </w:p>
    <w:p w14:paraId="06DC177C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3) w przypadku, gdy w danym miesiącu została zrealizowana inna liczba godzin, niż wynikająca z decyzji o których mowa w ust.1, kwota transzy w następnym miesiącu zostaje odpowiednio zwiększona lub zmniejszona.</w:t>
      </w:r>
    </w:p>
    <w:p w14:paraId="447DA851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VI.  Terminy i warunki realizacji zadania</w:t>
      </w:r>
    </w:p>
    <w:p w14:paraId="23AF1514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1. Termin realizacji zadania obejmuje okres od</w:t>
      </w: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 1 stycznia 202</w:t>
      </w:r>
      <w:r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6</w:t>
      </w: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r. 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do</w:t>
      </w: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 31 grudnia 202</w:t>
      </w:r>
      <w:r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6</w:t>
      </w: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r.</w:t>
      </w:r>
    </w:p>
    <w:p w14:paraId="0EC85817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2. Usługi świadczone będą w miejscu zamieszkania podopiecznych wskazanych przez Miejski Ośrodek Pomocy Społecznej w Ostrowi Mazowieckiej.</w:t>
      </w:r>
    </w:p>
    <w:p w14:paraId="36E82A32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3. Szczegółowe warunki realizacji powierzonego zadania określi umowa.</w:t>
      </w:r>
    </w:p>
    <w:p w14:paraId="03A790B7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4. Podmiot realizujący zadanie powinien posiadać niezbędne warunki i doświadczenie w realizacji zadań o podobnym charakterze.</w:t>
      </w:r>
    </w:p>
    <w:p w14:paraId="4E677A12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5. Podmiot przyjmujący do realizacji zadanie w trybie określonym w ogłoszeniu zobowiązuje się do wykonania zadania w zakresie i na warunkach określonych w umowie oraz zgodnie z obowiązującymi przepisami prawa, w tym w szczególności: ustawy o pomocy społecznej,  ustawy o ochronie danych osobowych, ustawy o finansach publicznych.</w:t>
      </w:r>
    </w:p>
    <w:p w14:paraId="72C2EA37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 xml:space="preserve">6. Sprawozdanie z realizacji zadania określonego w umowie należy sporządzić w terminie 30 dni od dnia zakończenia realizacji zadania na formularzu stanowiącym załącznik nr 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3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 Rozporządzenia Przewodniczącego Komitetu do spraw Pożytku Publicznego z dnia 24 października 2018 r. w sprawie wzorów ofert i ramowych wzorów umów dotyczących realizacji zadań publicznych oraz wzorów sprawozdań z wykonania tych zadań</w:t>
      </w:r>
    </w:p>
    <w:p w14:paraId="3AA02C7A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VII. Termin składania ofert i wymagane dokumenty.</w:t>
      </w:r>
    </w:p>
    <w:p w14:paraId="2DD71EC3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 xml:space="preserve">1. Oferty należy składać w Miejskim Ośrodku Pomocy Społecznej przy ul. </w:t>
      </w:r>
      <w:proofErr w:type="spellStart"/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Warchalskiego</w:t>
      </w:r>
      <w:proofErr w:type="spellEnd"/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 xml:space="preserve"> 3, 07-300 Ostrów Mazowiecka.</w:t>
      </w:r>
    </w:p>
    <w:p w14:paraId="30C3DB88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2. </w:t>
      </w: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 xml:space="preserve">Oferty należy składać w zamkniętej kopercie opatrzonej napisem „KONKURS OFERT NA ŚWIADCZENIE USŁUG OPIEKUŃCZYCH” w nieprzekraczalnym terminie do dnia </w:t>
      </w:r>
      <w:r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19 grudnia</w:t>
      </w: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 xml:space="preserve"> 202</w:t>
      </w:r>
      <w:r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5</w:t>
      </w: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 roku do godz.12.00 (decyduje data wpływu do kancelarii).</w:t>
      </w:r>
    </w:p>
    <w:p w14:paraId="64C9CF30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3. Oferta, która wpłynie po ww. terminie, nie będzie objęta procedurą konkursową.</w:t>
      </w:r>
    </w:p>
    <w:p w14:paraId="2D1E5C06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 xml:space="preserve">4. Oferty należy składać wyłącznie na drukach, których wzór określa załącznik nr 1 Rozporządzenia Przewodniczącego Komitetu do spraw Pożytku Publicznego z dnia 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lastRenderedPageBreak/>
        <w:t xml:space="preserve">24 października 2018 r. w sprawie wzorów ofert i ramowych wzorów umów dotyczących realizacji zadań publicznych oraz wzorów sprawozdań z wykonania tych zadań. </w:t>
      </w:r>
    </w:p>
    <w:p w14:paraId="00BD2820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5. Oferta złożona na innych drukach niż wymagane, nie będzie objęta procedurą konkursową.</w:t>
      </w:r>
    </w:p>
    <w:p w14:paraId="73B91436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6. Do oferty mogą być dołączone załączniki, w tym rekomendacje i opinie o oferencie lub o realizowanych przez niego projektach.</w:t>
      </w:r>
    </w:p>
    <w:p w14:paraId="1E494B7D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VIII.  Tryb i kryteria stosowane przy wyborze ofert oraz termin dokonania wyboru ofert .</w:t>
      </w:r>
    </w:p>
    <w:p w14:paraId="7CE1C0C4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1. Oceny złożonych ofert dokona komisja konkursowa powołana przez Dyrektora Miejskiego Ośrodka Pomocy Społecznej w oparciu o przepisy art. 15 ustawy o działalności pożytku publicznego i o wolontariacie.</w:t>
      </w:r>
    </w:p>
    <w:p w14:paraId="7BAD0E8B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2. Opiniowane będą wyłącznie oferty złożone w terminie określonym w ogłoszeniu, na obowiązujących drukach, kompletne i prawidłowo wypełnione.</w:t>
      </w:r>
    </w:p>
    <w:p w14:paraId="3913E7B4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3. W przypadku stwierdzenia braków formalnych (usuwalnych) ofert takich jak np. brak potwierdzenia kopii dokumentów za zgodność z oryginałem, oferent może zostać wezwany do usunięcia tych braków w określonym terminie.</w:t>
      </w:r>
    </w:p>
    <w:p w14:paraId="4BACABF2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4. W przypadku nieusunięcia braków formalnych w wyznaczonym terminie oferta zostanie odrzucona.</w:t>
      </w:r>
    </w:p>
    <w:p w14:paraId="3A4D4EA9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5. Na każdym etapie pracy komisji oferent może zostać wezwany do złożenia dodatkowych wyjaśnień.</w:t>
      </w:r>
    </w:p>
    <w:p w14:paraId="42CF8AE0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6. Przy rozpatrywaniu ofert stosowane będą następujące kryteria:</w:t>
      </w:r>
    </w:p>
    <w:p w14:paraId="2F0F9947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1) Formalne:</w:t>
      </w:r>
    </w:p>
    <w:p w14:paraId="047813D6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a) Czy oferta została złożona w terminie ustalonym w ogłoszeniu?</w:t>
      </w:r>
    </w:p>
    <w:p w14:paraId="0D9DA075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b) Czy oferta jest przedstawiona na właściwym formularzu?</w:t>
      </w:r>
    </w:p>
    <w:p w14:paraId="73216651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c) Czy zadanie mieści się w celach statutowych oferenta?</w:t>
      </w:r>
    </w:p>
    <w:p w14:paraId="635F2C02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d) Czy oferta została podpisana przez osoby upoważnione do reprezentowania podmiotu?</w:t>
      </w:r>
    </w:p>
    <w:p w14:paraId="552828DC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e) Czy podmiot składający ofertę jest uprawniony do jej złożenia?</w:t>
      </w:r>
    </w:p>
    <w:p w14:paraId="00B45B7D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Oferty, które nie spełniają wymogów formalnych, nie będą dalej rozpatrywane.</w:t>
      </w:r>
    </w:p>
    <w:p w14:paraId="22267C8A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2) Merytoryczne:</w:t>
      </w:r>
    </w:p>
    <w:p w14:paraId="39848177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a) Ocena zgodności złożonej oferty z zadaniem określonym w niniejszym ogłoszeniu.</w:t>
      </w:r>
    </w:p>
    <w:p w14:paraId="2B679493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b) Ocena możliwości realizacji zadania publicznego przez oferenta.</w:t>
      </w:r>
    </w:p>
    <w:p w14:paraId="3FBBA192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c) Ocena przedstawionej kalkulacji kosztów realizacji zadania, w tym w odniesieniu do zakresu rzeczowego zadania.</w:t>
      </w:r>
    </w:p>
    <w:p w14:paraId="1C323389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d) Ocena proponowanej jakości wykonywania zadania i kwalifikacje osób, przy udziale których oferent będzie realizował zadanie publiczne.</w:t>
      </w:r>
    </w:p>
    <w:p w14:paraId="4CEFCBE9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e) Ocena doświadczenia w realizacji tego rodzaju zadania.</w:t>
      </w:r>
    </w:p>
    <w:p w14:paraId="266E8BE1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7. Wyboru oferty dokonuje Dyrektor Miejskiego Ośrodka Pomocy Społecznej po zapoznaniu się z opinią komisji konkursowej.</w:t>
      </w:r>
    </w:p>
    <w:p w14:paraId="79F8EF3B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lastRenderedPageBreak/>
        <w:t>8. Ogłoszenie wyników otwartego konkursu ofert zostanie podane do wiadomości publicznej na stronie internetowej Miejskiego Ośrodka Pomocy Społecznej, w Biuletynie Informacji Publicznej, na tablicy ogłoszeń Miejskiego Ośrodka Pomocy Społecznej w Ostrowi Mazowieckiej.</w:t>
      </w:r>
    </w:p>
    <w:p w14:paraId="5DFEA8FC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9. Od ogłoszenia wyników otwartego konkursu ofert nie stosuje się trybu odwoławczego.</w:t>
      </w:r>
    </w:p>
    <w:p w14:paraId="0DA5C3CF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10. Dyrektor Miejskiego Ośrodka Pomocy Społecznej zastrzega sobie prawo odstąpienia od rozstrzygnięcia, w części lub w całości, otwartego konkursu ofert bez podania przyczyn.</w:t>
      </w:r>
    </w:p>
    <w:p w14:paraId="2B55A422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lang w:eastAsia="pl-PL" w:bidi="ar-SA"/>
        </w:rPr>
        <w:t>11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. </w:t>
      </w: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Rozstrzygnięcie konkursu nastąpi w terminie do </w:t>
      </w:r>
      <w:r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23 grudnia</w:t>
      </w: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 xml:space="preserve"> 202</w:t>
      </w:r>
      <w:r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5</w:t>
      </w: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 roku.</w:t>
      </w:r>
    </w:p>
    <w:p w14:paraId="0F866E38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IX.  Informacja o zrealizowanych w latach 202</w:t>
      </w:r>
      <w:r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3</w:t>
      </w: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-202</w:t>
      </w:r>
      <w:r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>4</w:t>
      </w:r>
      <w:r w:rsidRPr="00EB083B">
        <w:rPr>
          <w:rFonts w:ascii="Verdana" w:eastAsia="Times New Roman" w:hAnsi="Verdana" w:cs="Times New Roman"/>
          <w:b/>
          <w:bCs/>
          <w:color w:val="282828"/>
          <w:sz w:val="22"/>
          <w:szCs w:val="22"/>
          <w:bdr w:val="none" w:sz="0" w:space="0" w:color="auto" w:frame="1"/>
          <w:lang w:eastAsia="pl-PL" w:bidi="ar-SA"/>
        </w:rPr>
        <w:t xml:space="preserve"> zadaniach z zakresu pomocy społecznej tego samego rodzaju i związanych z nimi kosztami, ze szczególnym uwzględnieniem wysokości dotacji przekazanych organizacjom pozarządowym i podmiotom, o których mowa w art. 3 ust. 3.</w:t>
      </w:r>
    </w:p>
    <w:p w14:paraId="333F00DC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1. Koszt realizacji zadania w 202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3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 xml:space="preserve"> roku wyniósł: 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360 260,13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 zł</w:t>
      </w:r>
    </w:p>
    <w:p w14:paraId="1310B956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2. Średniomiesięczna liczba osób, dla których w 202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3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 xml:space="preserve">r. świadczone były usługi opiekuńcze: 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37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 osób.</w:t>
      </w:r>
    </w:p>
    <w:p w14:paraId="03A2E1AD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3. Koszt realizacji zadania w 202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4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 xml:space="preserve"> roku wyniósł: 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283 535,31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 zł</w:t>
      </w:r>
    </w:p>
    <w:p w14:paraId="1AB85DA0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4. Średniomiesięczna liczba osób, dla których w 202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4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 xml:space="preserve">r. świadczone były usługi opiekuńcze: 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32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 os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oby.</w:t>
      </w:r>
    </w:p>
    <w:p w14:paraId="2DEC8A4F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5. Kwota przeznaczona na realizację zadania w 202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5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 xml:space="preserve"> roku wynosi: 3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5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0 000 zł.</w:t>
      </w:r>
    </w:p>
    <w:p w14:paraId="6682C19A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4. Koszt realizacji zadania od 01 stycznia 202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5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 r. do 31 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października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 xml:space="preserve"> 202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5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 xml:space="preserve"> r. wyniósł: 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227 021,00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 zł</w:t>
      </w:r>
    </w:p>
    <w:p w14:paraId="414A2708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5. Średniomiesięczna liczba osób, dla których od 01 stycznia 202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5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 r. do 31 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października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 xml:space="preserve"> 202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5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r. świadczone były usługi opiekuńcze: 2</w:t>
      </w:r>
      <w:r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3</w:t>
      </w: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 osób.</w:t>
      </w:r>
    </w:p>
    <w:p w14:paraId="54C841EF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</w:pPr>
      <w:r w:rsidRPr="00EB083B">
        <w:rPr>
          <w:rFonts w:ascii="Verdana" w:eastAsia="Times New Roman" w:hAnsi="Verdana" w:cs="Times New Roman"/>
          <w:b/>
          <w:bCs/>
          <w:i/>
          <w:iCs/>
          <w:color w:val="282828"/>
          <w:sz w:val="22"/>
          <w:szCs w:val="22"/>
          <w:bdr w:val="none" w:sz="0" w:space="0" w:color="auto" w:frame="1"/>
          <w:lang w:eastAsia="pl-PL" w:bidi="ar-SA"/>
        </w:rPr>
        <w:t>Pouczenie:</w:t>
      </w:r>
    </w:p>
    <w:p w14:paraId="21965A79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0"/>
          <w:szCs w:val="20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2"/>
          <w:szCs w:val="22"/>
          <w:lang w:eastAsia="pl-PL" w:bidi="ar-SA"/>
        </w:rPr>
        <w:t>1</w:t>
      </w:r>
      <w:r w:rsidRPr="00EB083B">
        <w:rPr>
          <w:rFonts w:ascii="Verdana" w:eastAsia="Times New Roman" w:hAnsi="Verdana" w:cs="Times New Roman"/>
          <w:color w:val="282828"/>
          <w:sz w:val="20"/>
          <w:szCs w:val="20"/>
          <w:lang w:eastAsia="pl-PL" w:bidi="ar-SA"/>
        </w:rPr>
        <w:t>) </w:t>
      </w:r>
      <w:r w:rsidRPr="00EB083B">
        <w:rPr>
          <w:rFonts w:ascii="Verdana" w:eastAsia="Times New Roman" w:hAnsi="Verdana" w:cs="Times New Roman"/>
          <w:i/>
          <w:iCs/>
          <w:color w:val="282828"/>
          <w:sz w:val="20"/>
          <w:szCs w:val="20"/>
          <w:bdr w:val="none" w:sz="0" w:space="0" w:color="auto" w:frame="1"/>
          <w:lang w:eastAsia="pl-PL" w:bidi="ar-SA"/>
        </w:rPr>
        <w:t>Wszystkie strony oferty powinny być ze sobą połączone (np. zszyte) i ponumerowane.</w:t>
      </w:r>
    </w:p>
    <w:p w14:paraId="201995F9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0"/>
          <w:szCs w:val="20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0"/>
          <w:szCs w:val="20"/>
          <w:lang w:eastAsia="pl-PL" w:bidi="ar-SA"/>
        </w:rPr>
        <w:t>2) </w:t>
      </w:r>
      <w:r w:rsidRPr="00EB083B">
        <w:rPr>
          <w:rFonts w:ascii="Verdana" w:eastAsia="Times New Roman" w:hAnsi="Verdana" w:cs="Times New Roman"/>
          <w:i/>
          <w:iCs/>
          <w:color w:val="282828"/>
          <w:sz w:val="20"/>
          <w:szCs w:val="20"/>
          <w:bdr w:val="none" w:sz="0" w:space="0" w:color="auto" w:frame="1"/>
          <w:lang w:eastAsia="pl-PL" w:bidi="ar-SA"/>
        </w:rPr>
        <w:t>Na ostatniej stronie oferty (w wyznaczonym miejscu) należy dokładnie wpisać wszystkie załączniki.</w:t>
      </w:r>
    </w:p>
    <w:p w14:paraId="109B25E9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0"/>
          <w:szCs w:val="20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0"/>
          <w:szCs w:val="20"/>
          <w:lang w:eastAsia="pl-PL" w:bidi="ar-SA"/>
        </w:rPr>
        <w:t>3) </w:t>
      </w:r>
      <w:r w:rsidRPr="00EB083B">
        <w:rPr>
          <w:rFonts w:ascii="Verdana" w:eastAsia="Times New Roman" w:hAnsi="Verdana" w:cs="Times New Roman"/>
          <w:i/>
          <w:iCs/>
          <w:color w:val="282828"/>
          <w:sz w:val="20"/>
          <w:szCs w:val="20"/>
          <w:bdr w:val="none" w:sz="0" w:space="0" w:color="auto" w:frame="1"/>
          <w:lang w:eastAsia="pl-PL" w:bidi="ar-SA"/>
        </w:rPr>
        <w:t>Ofertę oraz załączniki należy składać w jednym egzemplarzu.</w:t>
      </w:r>
    </w:p>
    <w:p w14:paraId="2B0A14D1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0"/>
          <w:szCs w:val="20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0"/>
          <w:szCs w:val="20"/>
          <w:lang w:eastAsia="pl-PL" w:bidi="ar-SA"/>
        </w:rPr>
        <w:t>4) </w:t>
      </w:r>
      <w:r w:rsidRPr="00EB083B">
        <w:rPr>
          <w:rFonts w:ascii="Verdana" w:eastAsia="Times New Roman" w:hAnsi="Verdana" w:cs="Times New Roman"/>
          <w:i/>
          <w:iCs/>
          <w:color w:val="282828"/>
          <w:sz w:val="20"/>
          <w:szCs w:val="20"/>
          <w:bdr w:val="none" w:sz="0" w:space="0" w:color="auto" w:frame="1"/>
          <w:lang w:eastAsia="pl-PL" w:bidi="ar-SA"/>
        </w:rPr>
        <w:t>Wszystkie pola oferty muszą zostać czytelnie wypełnione. W pola, które nie odnoszą się do oferenta, należy wpisać „nie dotyczy”.</w:t>
      </w:r>
    </w:p>
    <w:p w14:paraId="3CCD601B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0"/>
          <w:szCs w:val="20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0"/>
          <w:szCs w:val="20"/>
          <w:lang w:eastAsia="pl-PL" w:bidi="ar-SA"/>
        </w:rPr>
        <w:t>5) </w:t>
      </w:r>
      <w:r w:rsidRPr="00EB083B">
        <w:rPr>
          <w:rFonts w:ascii="Verdana" w:eastAsia="Times New Roman" w:hAnsi="Verdana" w:cs="Times New Roman"/>
          <w:i/>
          <w:iCs/>
          <w:color w:val="282828"/>
          <w:sz w:val="20"/>
          <w:szCs w:val="20"/>
          <w:bdr w:val="none" w:sz="0" w:space="0" w:color="auto" w:frame="1"/>
          <w:lang w:eastAsia="pl-PL" w:bidi="ar-SA"/>
        </w:rPr>
        <w:t>W dokumencie nie wolno dokonywać skreśleń i poprawek, poza wyraźnie wskazanymi rubrykami.</w:t>
      </w:r>
    </w:p>
    <w:p w14:paraId="2DECBEE8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0"/>
          <w:szCs w:val="20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0"/>
          <w:szCs w:val="20"/>
          <w:lang w:eastAsia="pl-PL" w:bidi="ar-SA"/>
        </w:rPr>
        <w:t>6) </w:t>
      </w:r>
      <w:r w:rsidRPr="00EB083B">
        <w:rPr>
          <w:rFonts w:ascii="Verdana" w:eastAsia="Times New Roman" w:hAnsi="Verdana" w:cs="Times New Roman"/>
          <w:i/>
          <w:iCs/>
          <w:color w:val="282828"/>
          <w:sz w:val="20"/>
          <w:szCs w:val="20"/>
          <w:bdr w:val="none" w:sz="0" w:space="0" w:color="auto" w:frame="1"/>
          <w:lang w:eastAsia="pl-PL" w:bidi="ar-SA"/>
        </w:rPr>
        <w:t>W przypadku opcji „niepotrzebne skreślić” należy dokonać właściwego wyboru.</w:t>
      </w:r>
    </w:p>
    <w:p w14:paraId="6E648E9D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0"/>
          <w:szCs w:val="20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0"/>
          <w:szCs w:val="20"/>
          <w:lang w:eastAsia="pl-PL" w:bidi="ar-SA"/>
        </w:rPr>
        <w:t>7) </w:t>
      </w:r>
      <w:r w:rsidRPr="00EB083B">
        <w:rPr>
          <w:rFonts w:ascii="Verdana" w:eastAsia="Times New Roman" w:hAnsi="Verdana" w:cs="Times New Roman"/>
          <w:i/>
          <w:iCs/>
          <w:color w:val="282828"/>
          <w:sz w:val="20"/>
          <w:szCs w:val="20"/>
          <w:bdr w:val="none" w:sz="0" w:space="0" w:color="auto" w:frame="1"/>
          <w:lang w:eastAsia="pl-PL" w:bidi="ar-SA"/>
        </w:rPr>
        <w:t>Składane kopie dokumentów powinny być potwierdzone za zgodność z oryginałem przez osoby do tego uprawnione.</w:t>
      </w:r>
    </w:p>
    <w:p w14:paraId="22C0100D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0"/>
          <w:szCs w:val="20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0"/>
          <w:szCs w:val="20"/>
          <w:lang w:eastAsia="pl-PL" w:bidi="ar-SA"/>
        </w:rPr>
        <w:t>8) </w:t>
      </w:r>
      <w:r w:rsidRPr="00EB083B">
        <w:rPr>
          <w:rFonts w:ascii="Verdana" w:eastAsia="Times New Roman" w:hAnsi="Verdana" w:cs="Times New Roman"/>
          <w:i/>
          <w:iCs/>
          <w:color w:val="282828"/>
          <w:sz w:val="20"/>
          <w:szCs w:val="20"/>
          <w:bdr w:val="none" w:sz="0" w:space="0" w:color="auto" w:frame="1"/>
          <w:lang w:eastAsia="pl-PL" w:bidi="ar-SA"/>
        </w:rPr>
        <w:t>Ofertę muszą podpisać osoby uprawnione do reprezentowania danego podmiotu i składania oświadczeń woli w jego imieniu, podpis musi być złożony pełnym imieniem i nazwiskiem (czytelnie) z zaznaczeniem pełnionej funkcji.</w:t>
      </w:r>
    </w:p>
    <w:p w14:paraId="3D3495AB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0"/>
          <w:szCs w:val="20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0"/>
          <w:szCs w:val="20"/>
          <w:lang w:eastAsia="pl-PL" w:bidi="ar-SA"/>
        </w:rPr>
        <w:t>9) </w:t>
      </w:r>
      <w:r w:rsidRPr="00EB083B">
        <w:rPr>
          <w:rFonts w:ascii="Verdana" w:eastAsia="Times New Roman" w:hAnsi="Verdana" w:cs="Times New Roman"/>
          <w:i/>
          <w:iCs/>
          <w:color w:val="282828"/>
          <w:sz w:val="20"/>
          <w:szCs w:val="20"/>
          <w:bdr w:val="none" w:sz="0" w:space="0" w:color="auto" w:frame="1"/>
          <w:lang w:eastAsia="pl-PL" w:bidi="ar-SA"/>
        </w:rPr>
        <w:t>W przypadku wystawienia przez ww. osoby upoważnień do podpisywania dokumentów (lub określonych rodzajów dokumentów), upoważnienia muszą być dołączone do oferty.</w:t>
      </w:r>
    </w:p>
    <w:p w14:paraId="255E9DE2" w14:textId="77777777" w:rsidR="00712F06" w:rsidRPr="00EB083B" w:rsidRDefault="00712F06" w:rsidP="00712F06">
      <w:pPr>
        <w:widowControl/>
        <w:shd w:val="clear" w:color="auto" w:fill="FFFFFF"/>
        <w:spacing w:line="360" w:lineRule="auto"/>
        <w:jc w:val="both"/>
        <w:textAlignment w:val="baseline"/>
        <w:rPr>
          <w:rFonts w:ascii="Verdana" w:eastAsia="Times New Roman" w:hAnsi="Verdana" w:cs="Times New Roman"/>
          <w:color w:val="282828"/>
          <w:sz w:val="20"/>
          <w:szCs w:val="20"/>
          <w:lang w:eastAsia="pl-PL" w:bidi="ar-SA"/>
        </w:rPr>
      </w:pPr>
      <w:r w:rsidRPr="00EB083B">
        <w:rPr>
          <w:rFonts w:ascii="Verdana" w:eastAsia="Times New Roman" w:hAnsi="Verdana" w:cs="Times New Roman"/>
          <w:color w:val="282828"/>
          <w:sz w:val="20"/>
          <w:szCs w:val="20"/>
          <w:lang w:eastAsia="pl-PL" w:bidi="ar-SA"/>
        </w:rPr>
        <w:lastRenderedPageBreak/>
        <w:t>10) </w:t>
      </w:r>
      <w:r w:rsidRPr="00EB083B">
        <w:rPr>
          <w:rFonts w:ascii="Verdana" w:eastAsia="Times New Roman" w:hAnsi="Verdana" w:cs="Times New Roman"/>
          <w:i/>
          <w:iCs/>
          <w:color w:val="282828"/>
          <w:sz w:val="20"/>
          <w:szCs w:val="20"/>
          <w:bdr w:val="none" w:sz="0" w:space="0" w:color="auto" w:frame="1"/>
          <w:lang w:eastAsia="pl-PL" w:bidi="ar-SA"/>
        </w:rPr>
        <w:t xml:space="preserve">Dyrektor Miejskiego Ośrodka Pomocy Społecznej w Ostrowi Mazowieckiej może udzielać stosownych wyjaśnień na pytania oferenta, dotyczących zadań konkursowych, e-mail: sekretariat@mopsostrowmaz.pl, Miejski Ośrodek Pomocy Społecznej ul. </w:t>
      </w:r>
      <w:proofErr w:type="spellStart"/>
      <w:r w:rsidRPr="00EB083B">
        <w:rPr>
          <w:rFonts w:ascii="Verdana" w:eastAsia="Times New Roman" w:hAnsi="Verdana" w:cs="Times New Roman"/>
          <w:i/>
          <w:iCs/>
          <w:color w:val="282828"/>
          <w:sz w:val="20"/>
          <w:szCs w:val="20"/>
          <w:bdr w:val="none" w:sz="0" w:space="0" w:color="auto" w:frame="1"/>
          <w:lang w:eastAsia="pl-PL" w:bidi="ar-SA"/>
        </w:rPr>
        <w:t>Warchalskiego</w:t>
      </w:r>
      <w:proofErr w:type="spellEnd"/>
      <w:r w:rsidRPr="00EB083B">
        <w:rPr>
          <w:rFonts w:ascii="Verdana" w:eastAsia="Times New Roman" w:hAnsi="Verdana" w:cs="Times New Roman"/>
          <w:i/>
          <w:iCs/>
          <w:color w:val="282828"/>
          <w:sz w:val="20"/>
          <w:szCs w:val="20"/>
          <w:bdr w:val="none" w:sz="0" w:space="0" w:color="auto" w:frame="1"/>
          <w:lang w:eastAsia="pl-PL" w:bidi="ar-SA"/>
        </w:rPr>
        <w:t xml:space="preserve"> 3, od poniedziałku do piątku w godzinach 08.00–16.00.</w:t>
      </w:r>
    </w:p>
    <w:p w14:paraId="39DBBBFF" w14:textId="77777777" w:rsidR="00712F06" w:rsidRPr="0065544A" w:rsidRDefault="00712F06" w:rsidP="00712F06">
      <w:pPr>
        <w:spacing w:line="360" w:lineRule="auto"/>
        <w:ind w:firstLine="709"/>
        <w:jc w:val="both"/>
        <w:rPr>
          <w:rFonts w:ascii="Verdana" w:hAnsi="Verdana"/>
          <w:sz w:val="22"/>
          <w:szCs w:val="22"/>
        </w:rPr>
      </w:pPr>
      <w:r w:rsidRPr="0065544A">
        <w:rPr>
          <w:rFonts w:ascii="Verdana" w:hAnsi="Verdana"/>
          <w:sz w:val="22"/>
          <w:szCs w:val="22"/>
        </w:rPr>
        <w:t xml:space="preserve"> </w:t>
      </w:r>
    </w:p>
    <w:p w14:paraId="300D653D" w14:textId="77777777" w:rsidR="003335B4" w:rsidRDefault="003335B4"/>
    <w:sectPr w:rsidR="003335B4" w:rsidSect="00712F06">
      <w:pgSz w:w="11906" w:h="16838"/>
      <w:pgMar w:top="567" w:right="566" w:bottom="1134" w:left="1134" w:header="0" w:footer="0" w:gutter="0"/>
      <w:cols w:space="708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F06"/>
    <w:rsid w:val="003335B4"/>
    <w:rsid w:val="004D2B89"/>
    <w:rsid w:val="005F41F0"/>
    <w:rsid w:val="00712F06"/>
    <w:rsid w:val="009927A9"/>
    <w:rsid w:val="00CC4D5C"/>
    <w:rsid w:val="00E54EB3"/>
    <w:rsid w:val="00F1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D600F"/>
  <w15:chartTrackingRefBased/>
  <w15:docId w15:val="{23B0575A-27A6-48B5-B33F-8B44FE806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F06"/>
    <w:pPr>
      <w:widowControl w:val="0"/>
      <w:spacing w:after="0" w:line="240" w:lineRule="auto"/>
    </w:pPr>
    <w:rPr>
      <w:rFonts w:ascii="Liberation Serif" w:eastAsia="NSimSun" w:hAnsi="Liberation Serif" w:cs="Arial"/>
      <w:kern w:val="0"/>
      <w:sz w:val="24"/>
      <w:szCs w:val="24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12F06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12F06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2F06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12F06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12F06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12F06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12F06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12F06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12F06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12F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12F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2F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12F0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12F0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12F0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12F0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12F0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12F0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12F06"/>
    <w:pPr>
      <w:widowControl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12F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12F06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12F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12F06"/>
    <w:pPr>
      <w:widowControl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12F0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12F06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12F0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12F06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12F0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12F0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2475</Words>
  <Characters>14854</Characters>
  <Application>Microsoft Office Word</Application>
  <DocSecurity>0</DocSecurity>
  <Lines>123</Lines>
  <Paragraphs>34</Paragraphs>
  <ScaleCrop>false</ScaleCrop>
  <Company/>
  <LinksUpToDate>false</LinksUpToDate>
  <CharactersWithSpaces>17295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Tadla</dc:creator>
  <cp:keywords/>
  <dc:description/>
  <cp:lastModifiedBy>Katarzyna Tadla</cp:lastModifiedBy>
  <cp:revision>1</cp:revision>
  <dcterms:created xsi:type="dcterms:W3CDTF">2025-11-28T11:07:00Z</dcterms:created>
  <dcterms:modified xsi:type="dcterms:W3CDTF">2025-11-28T11:08:00Z</dcterms:modified>
</cp:coreProperties>
</file>