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Agnieszkę Gwardiak.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0A1BA67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4E2DC402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</w:t>
      </w:r>
      <w:r w:rsidR="00941CCA">
        <w:rPr>
          <w:iCs/>
        </w:rPr>
        <w:t>a</w:t>
      </w:r>
      <w:r w:rsidRPr="00D33A58">
        <w:rPr>
          <w:iCs/>
        </w:rPr>
        <w:t xml:space="preserve"> i przenoszenia danych, jak również prawo do wniesienia skargi do organu nadzorczego (tj. Prezes Urzędu Ochrony Danych Osobowych).</w:t>
      </w:r>
    </w:p>
    <w:p w14:paraId="1AB391A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941CCA"/>
    <w:rsid w:val="009B2531"/>
    <w:rsid w:val="00A41B38"/>
    <w:rsid w:val="00A66D6B"/>
    <w:rsid w:val="00AA0442"/>
    <w:rsid w:val="00AE664E"/>
    <w:rsid w:val="00AF2467"/>
    <w:rsid w:val="00B6351A"/>
    <w:rsid w:val="00D127F4"/>
    <w:rsid w:val="00D31FD7"/>
    <w:rsid w:val="00D33A58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2022-11-28T14:17:00Z</dcterms:created>
  <dcterms:modified xsi:type="dcterms:W3CDTF">2022-11-28T14:17:00Z</dcterms:modified>
</cp:coreProperties>
</file>