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9062" w:type="dxa"/>
        <w:tblLayout w:type="fixed"/>
        <w:tblLook w:val="04A0"/>
      </w:tblPr>
      <w:tblGrid>
        <w:gridCol w:w="675"/>
        <w:gridCol w:w="142"/>
        <w:gridCol w:w="5035"/>
        <w:gridCol w:w="1493"/>
        <w:gridCol w:w="1717"/>
      </w:tblGrid>
      <w:tr w:rsidR="00CB6F02" w:rsidTr="004D76DA">
        <w:trPr>
          <w:trHeight w:val="465"/>
        </w:trPr>
        <w:tc>
          <w:tcPr>
            <w:tcW w:w="9062" w:type="dxa"/>
            <w:gridSpan w:val="5"/>
          </w:tcPr>
          <w:p w:rsidR="00CB6F02" w:rsidRPr="004D76DA" w:rsidRDefault="00675338">
            <w:pPr>
              <w:spacing w:after="0" w:line="240" w:lineRule="auto"/>
              <w:jc w:val="center"/>
              <w:rPr>
                <w:rFonts w:ascii="Arial Nova Light" w:hAnsi="Arial Nova Light"/>
                <w:b/>
                <w:bCs/>
              </w:rPr>
            </w:pPr>
            <w:r w:rsidRPr="004D76DA">
              <w:rPr>
                <w:rFonts w:ascii="Arial Nova Light" w:eastAsia="Calibri" w:hAnsi="Arial Nova Light"/>
                <w:b/>
                <w:bCs/>
              </w:rPr>
              <w:t>Ankieta dla podmiotu przetwarzającego (procesora)</w:t>
            </w:r>
          </w:p>
          <w:p w:rsidR="00CB6F02" w:rsidRPr="004D76DA" w:rsidRDefault="00CB6F02" w:rsidP="004D76DA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</w:p>
        </w:tc>
      </w:tr>
      <w:tr w:rsidR="00CB6F02" w:rsidTr="004D76DA">
        <w:trPr>
          <w:trHeight w:val="360"/>
        </w:trPr>
        <w:tc>
          <w:tcPr>
            <w:tcW w:w="67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Lp.</w:t>
            </w:r>
          </w:p>
        </w:tc>
        <w:tc>
          <w:tcPr>
            <w:tcW w:w="5177" w:type="dxa"/>
            <w:gridSpan w:val="2"/>
          </w:tcPr>
          <w:p w:rsidR="00CB6F02" w:rsidRPr="004D76DA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 w:rsidRPr="004D76DA">
              <w:rPr>
                <w:rFonts w:ascii="Arial Nova Light" w:eastAsia="Calibri" w:hAnsi="Arial Nova Light"/>
                <w:b/>
                <w:bCs/>
              </w:rPr>
              <w:t xml:space="preserve">Pytanie </w:t>
            </w:r>
          </w:p>
        </w:tc>
        <w:tc>
          <w:tcPr>
            <w:tcW w:w="1493" w:type="dxa"/>
          </w:tcPr>
          <w:p w:rsidR="00CB6F02" w:rsidRPr="004D76DA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 w:rsidRPr="004D76DA">
              <w:rPr>
                <w:rFonts w:ascii="Arial Nova Light" w:eastAsia="Calibri" w:hAnsi="Arial Nova Light"/>
                <w:b/>
                <w:bCs/>
              </w:rPr>
              <w:t>Odpowiedź</w:t>
            </w:r>
          </w:p>
          <w:p w:rsidR="00CB6F02" w:rsidRPr="004D76DA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 w:rsidRPr="004D76DA">
              <w:rPr>
                <w:rFonts w:ascii="Arial Nova Light" w:eastAsia="Calibri" w:hAnsi="Arial Nova Light"/>
                <w:b/>
                <w:bCs/>
              </w:rPr>
              <w:t>TAK/NIE</w:t>
            </w:r>
          </w:p>
        </w:tc>
        <w:tc>
          <w:tcPr>
            <w:tcW w:w="1717" w:type="dxa"/>
          </w:tcPr>
          <w:p w:rsidR="00CB6F02" w:rsidRPr="004D76DA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 w:rsidRPr="004D76DA">
              <w:rPr>
                <w:rFonts w:ascii="Arial Nova Light" w:eastAsia="Calibri" w:hAnsi="Arial Nova Light"/>
                <w:b/>
                <w:bCs/>
              </w:rPr>
              <w:t xml:space="preserve">Uwagi </w:t>
            </w:r>
          </w:p>
        </w:tc>
      </w:tr>
      <w:tr w:rsidR="00CB6F02" w:rsidTr="004D76DA">
        <w:trPr>
          <w:trHeight w:val="315"/>
        </w:trPr>
        <w:tc>
          <w:tcPr>
            <w:tcW w:w="67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</w:t>
            </w:r>
          </w:p>
        </w:tc>
        <w:tc>
          <w:tcPr>
            <w:tcW w:w="517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posiada certyfikat zgodny art. 42 RODO?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67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</w:t>
            </w:r>
          </w:p>
        </w:tc>
        <w:tc>
          <w:tcPr>
            <w:tcW w:w="517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stosuje zatwierdzony kodeks postępowania, o którym mowa w art. 40 RODO i jest on zgodny z przedmiotem postępowaniem?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67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3</w:t>
            </w:r>
          </w:p>
        </w:tc>
        <w:tc>
          <w:tcPr>
            <w:tcW w:w="517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w ciągu dwóch ostatnich lat podmiot przetwarzający poddawał zewnętrznej kontroli niezależnych audytorów funkcjonujący w jego organizacji system ochrony danych osobowych i uzyskał ocenę pozytywną?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705"/>
        </w:trPr>
        <w:tc>
          <w:tcPr>
            <w:tcW w:w="67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 </w:t>
            </w:r>
          </w:p>
        </w:tc>
        <w:tc>
          <w:tcPr>
            <w:tcW w:w="517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wypełnij ankietę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hRule="exact" w:val="180"/>
        </w:trPr>
        <w:tc>
          <w:tcPr>
            <w:tcW w:w="675" w:type="dxa"/>
          </w:tcPr>
          <w:p w:rsidR="00CB6F02" w:rsidRDefault="00CB6F02">
            <w:pPr>
              <w:spacing w:after="0" w:line="240" w:lineRule="auto"/>
              <w:rPr>
                <w:rFonts w:ascii="Arial Nova Light" w:hAnsi="Arial Nova Light"/>
              </w:rPr>
            </w:pPr>
          </w:p>
        </w:tc>
        <w:tc>
          <w:tcPr>
            <w:tcW w:w="5177" w:type="dxa"/>
            <w:gridSpan w:val="2"/>
          </w:tcPr>
          <w:p w:rsidR="00CB6F02" w:rsidRDefault="00CB6F02">
            <w:pPr>
              <w:spacing w:after="0" w:line="240" w:lineRule="auto"/>
              <w:rPr>
                <w:rFonts w:ascii="Arial Nova Light" w:hAnsi="Arial Nova Light"/>
              </w:rPr>
            </w:pPr>
          </w:p>
        </w:tc>
        <w:tc>
          <w:tcPr>
            <w:tcW w:w="1493" w:type="dxa"/>
          </w:tcPr>
          <w:p w:rsidR="00CB6F02" w:rsidRDefault="00CB6F02">
            <w:pPr>
              <w:spacing w:after="0" w:line="240" w:lineRule="auto"/>
              <w:rPr>
                <w:rFonts w:ascii="Arial Nova Light" w:hAnsi="Arial Nova Light"/>
              </w:rPr>
            </w:pPr>
          </w:p>
        </w:tc>
        <w:tc>
          <w:tcPr>
            <w:tcW w:w="1717" w:type="dxa"/>
          </w:tcPr>
          <w:p w:rsidR="00CB6F02" w:rsidRDefault="00CB6F02">
            <w:pPr>
              <w:spacing w:after="0" w:line="240" w:lineRule="auto"/>
              <w:rPr>
                <w:rFonts w:ascii="Arial Nova Light" w:hAnsi="Arial Nova Light"/>
              </w:rPr>
            </w:pPr>
          </w:p>
        </w:tc>
      </w:tr>
      <w:tr w:rsidR="00CB6F02" w:rsidTr="004D76DA">
        <w:trPr>
          <w:trHeight w:val="360"/>
        </w:trPr>
        <w:tc>
          <w:tcPr>
            <w:tcW w:w="9062" w:type="dxa"/>
            <w:gridSpan w:val="5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Wypełnić w przypadku odpowiedzi "Nie" na wszystkie pytania 1-3</w:t>
            </w:r>
          </w:p>
        </w:tc>
      </w:tr>
      <w:tr w:rsidR="00CB6F02" w:rsidTr="004D76DA">
        <w:trPr>
          <w:trHeight w:val="983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Lp.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 xml:space="preserve">Pytanie 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Odpowiedź TAK/NIE/N.D. (nie dotyczy)</w:t>
            </w:r>
          </w:p>
          <w:p w:rsidR="00CB6F02" w:rsidRDefault="00CB6F02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 xml:space="preserve">Uwagi </w:t>
            </w:r>
            <w:r>
              <w:rPr>
                <w:rFonts w:ascii="Arial Nova Light" w:eastAsia="Calibri" w:hAnsi="Arial Nova Light"/>
                <w:b/>
                <w:bCs/>
              </w:rPr>
              <w:br/>
              <w:t xml:space="preserve">(wypełnić </w:t>
            </w:r>
            <w:r>
              <w:rPr>
                <w:rFonts w:ascii="Arial Nova Light" w:eastAsia="Calibri" w:hAnsi="Arial Nova Light"/>
                <w:b/>
                <w:bCs/>
              </w:rPr>
              <w:br/>
              <w:t>w przypadku udzielenia odpowiedzi N.D.)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4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jest w stanie wykazać przestrzeganie zasad ochrony danych osobowych  m. in. poprzez przedstawienie obowiązujących w jego organizacji procedur i dokumentacji ochrony danych?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5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prowadzi rejestr czynności przetwarzania zawierający wszystkie informacje wskazane   w art. 30 ust. 1 RODO?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6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prowadzi rejestr kategorii czynności przetwarzania zawierający wszystkie informacje wskazane w art. 30 ust. 2 RODO?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7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8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 xml:space="preserve">Czy podmiot wdrożył inne zasady, standardy, regulaminy, procedury, polityki, biblioteki lub zbiory najlepszych praktyk mające znaczenie dla ochrony informacji/danych osobowych? 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9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zapewnia, że pracownik dedykowany do realizacji przedmiotu zamówienia jest odpowiednio przeszkolony w tym zakresie i zapoznany z obowiązującymi przepisami prawa?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10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dobrał zabezpieczenia zapewniające bezpieczeństwo przetwarzanych danych osobowych w odniesieniu do oceny skutków ich przetwarzania dla praw i wolności osób, których dane dotyczą?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315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lastRenderedPageBreak/>
              <w:t>11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każdy pracownik podmiotu przetwarzającego otrzymuje imienny identyfikator do systemów informatycznych?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315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12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okresowo dokonuje przeglądu ryzyk związanych z przetwarzaniem danych osobowych?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13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w przypadku zmiany poziomu ryzyka podmiot postępując z ryzykiem dobiera nowe/odpowiednie środki techniczne i organizacyjne zabezpieczające dane, stosownie do wyników analizy?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14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 xml:space="preserve">Czy podmiot przetwarzający wdrożył odpowiednie środki techniczne i organizacyjne, aby zapewnić stopień bezpieczeństwa odpowiadający ryzyku związanemu z ich przetwarzaniem, w tym: 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315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14 a)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proofErr w:type="spellStart"/>
            <w:r>
              <w:rPr>
                <w:rFonts w:ascii="Arial Nova Light" w:eastAsia="Calibri" w:hAnsi="Arial Nova Light"/>
              </w:rPr>
              <w:t>pseudonimizację</w:t>
            </w:r>
            <w:proofErr w:type="spellEnd"/>
            <w:r>
              <w:rPr>
                <w:rFonts w:ascii="Arial Nova Light" w:eastAsia="Calibri" w:hAnsi="Arial Nova Light"/>
              </w:rPr>
              <w:t xml:space="preserve"> i szyfrowanie danych osobowych?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315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14 b)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zdolność do ciągłego zapewnienia poufności, integralności, dostępności i odporności systemów i usług przetwarzania?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14 c)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zdolność do szybkiego przywrócenia dostępności danych osobowych i dostępu do nich w razie incydentu fizycznego lub technicznego?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14 d)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regularne testowanie, mierzenie i ocenianie skuteczności środków technicznych i organizacyjnych mających zapewnić bezpieczeństwo przetwarzania?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945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15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prowadzi regularnie audyty dotyczące zasad bezpieczeństwa informacji, w tym danych osobowych, w celu weryfikacji spełniania wymogów polityki ochrony danych lub innej wewnętrznej procedury, w tym ocena skuteczności środków technicznych i organizacyjnych mających zapewnić bezpieczeństwo przetwarzania?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315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16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 xml:space="preserve">Czy wnioski z audytów zostały udokumentowane, np. w raporcie </w:t>
            </w:r>
            <w:proofErr w:type="spellStart"/>
            <w:r>
              <w:rPr>
                <w:rFonts w:ascii="Arial Nova Light" w:eastAsia="Calibri" w:hAnsi="Arial Nova Light"/>
              </w:rPr>
              <w:t>audytowym</w:t>
            </w:r>
            <w:proofErr w:type="spellEnd"/>
            <w:r>
              <w:rPr>
                <w:rFonts w:ascii="Arial Nova Light" w:eastAsia="Calibri" w:hAnsi="Arial Nova Light"/>
              </w:rPr>
              <w:t>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17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jest przygotowany do poddania się audytowi przeprowadzonemu przez administratora danych lub audytora upoważnionego przez administratora danych?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18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zapewniono zdolności do szybkiego przywrócenia dostępności danych osobowych i dostępu do nich w razie incydentu?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19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organizacja posiada procedury odtwarzania systemu po awarii oraz procedury ich testowania, oraz stosuje je w praktyce?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20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zapewnia fizyczne oddzielenie  powierzonych mu danych  przez Zamawiającego od danych innych podmiotów w tym danych własnych?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21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zgodnie z art. 29 RODO osoby wykonujące operacje na danych osobowych otrzymały od podmiotu przetwarzającego stosowne upoważnienia do przetwarzania danych, w których zostały sprecyzowane działania na nich wykonywane?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945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lastRenderedPageBreak/>
              <w:t>22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 xml:space="preserve">Czy podmiot przetwarzający zapewnia, aby nowozatrudniony pracownik przed podjęciem czynności związanych z przetwarzaniem danych osobowych został odpowiednio przeszkolony w tym zakresie i zapoznany z obowiązującymi przepisami prawa?  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78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23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24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 xml:space="preserve">Czy pracownicy podmiotu przetwarzającego, którzy będą uczestniczyć w operacjach przetwarzania danych osobowych Zamawiającego zostaną zobowiązani do zachowania ich w tajemnicy? 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25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podmiot przetwarzający ewidencjonuje dostęp do systemów informatycznych w których  przetwarzane będą dane osobowe powierzone przez Zamawiającego?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26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 xml:space="preserve">Czy podmiot przetwarzający jest w stanie wykazać </w:t>
            </w:r>
            <w:proofErr w:type="spellStart"/>
            <w:r>
              <w:rPr>
                <w:rFonts w:ascii="Arial Nova Light" w:eastAsia="Calibri" w:hAnsi="Arial Nova Light"/>
              </w:rPr>
              <w:t>rozliczalność</w:t>
            </w:r>
            <w:proofErr w:type="spellEnd"/>
            <w:r>
              <w:rPr>
                <w:rFonts w:ascii="Arial Nova Light" w:eastAsia="Calibri" w:hAnsi="Arial Nova Light"/>
              </w:rPr>
              <w:t xml:space="preserve"> podjętych działań na danych osobowych powierzonych przez Zamawiającego?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27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 xml:space="preserve">Czy dostęp do pomieszczeń pozostających w dyspozycji podmiotu przetwarzającego po godzinach pracy nie jest możliwy dla osób trzecich (firma sprzątająca, ochrona), bądź dostęp ten jest szczegółowo nadzorowany? 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630"/>
        </w:trPr>
        <w:tc>
          <w:tcPr>
            <w:tcW w:w="817" w:type="dxa"/>
            <w:gridSpan w:val="2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eastAsia="Calibri" w:hAnsi="Arial Nova Light"/>
                <w:b/>
                <w:bCs/>
              </w:rPr>
              <w:t>28</w:t>
            </w:r>
          </w:p>
        </w:tc>
        <w:tc>
          <w:tcPr>
            <w:tcW w:w="5035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Czy dane osobowe gromadzone w formie papierowej, po godzinach pracy organizacji, przechowywane są w zamykanych szafach/szafkach/szufladach bez możliwości dostępu do nich osób nieupoważnionych?</w:t>
            </w:r>
          </w:p>
        </w:tc>
        <w:tc>
          <w:tcPr>
            <w:tcW w:w="1493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  <w:tc>
          <w:tcPr>
            <w:tcW w:w="1717" w:type="dxa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 </w:t>
            </w:r>
          </w:p>
        </w:tc>
      </w:tr>
      <w:tr w:rsidR="00CB6F02" w:rsidTr="004D76DA">
        <w:trPr>
          <w:trHeight w:val="930"/>
        </w:trPr>
        <w:tc>
          <w:tcPr>
            <w:tcW w:w="817" w:type="dxa"/>
            <w:gridSpan w:val="2"/>
          </w:tcPr>
          <w:p w:rsidR="00CB6F02" w:rsidRDefault="00CB6F02">
            <w:pPr>
              <w:spacing w:after="0" w:line="240" w:lineRule="auto"/>
              <w:rPr>
                <w:rFonts w:ascii="Arial Nova Light" w:hAnsi="Arial Nova Light"/>
              </w:rPr>
            </w:pPr>
          </w:p>
        </w:tc>
        <w:tc>
          <w:tcPr>
            <w:tcW w:w="8245" w:type="dxa"/>
            <w:gridSpan w:val="3"/>
          </w:tcPr>
          <w:p w:rsidR="00CB6F02" w:rsidRDefault="00CB6F02">
            <w:pPr>
              <w:spacing w:after="0" w:line="240" w:lineRule="auto"/>
              <w:jc w:val="center"/>
              <w:rPr>
                <w:rFonts w:ascii="Arial Nova Light" w:hAnsi="Arial Nova Light"/>
              </w:rPr>
            </w:pPr>
          </w:p>
          <w:p w:rsidR="00CB6F02" w:rsidRDefault="00675338">
            <w:pPr>
              <w:spacing w:after="0" w:line="240" w:lineRule="auto"/>
              <w:jc w:val="center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Prawdziwość powyższych danych potwierdzam świadom odpowiedzialności karnej z art. 297 kodeksu karnego.</w:t>
            </w:r>
          </w:p>
        </w:tc>
      </w:tr>
      <w:tr w:rsidR="00CB6F02" w:rsidTr="004D76DA">
        <w:trPr>
          <w:trHeight w:val="278"/>
        </w:trPr>
        <w:tc>
          <w:tcPr>
            <w:tcW w:w="817" w:type="dxa"/>
            <w:gridSpan w:val="2"/>
          </w:tcPr>
          <w:p w:rsidR="00CB6F02" w:rsidRDefault="00CB6F02">
            <w:pPr>
              <w:spacing w:after="0" w:line="240" w:lineRule="auto"/>
              <w:rPr>
                <w:rFonts w:ascii="Arial Nova Light" w:hAnsi="Arial Nova Light"/>
              </w:rPr>
            </w:pPr>
          </w:p>
        </w:tc>
        <w:tc>
          <w:tcPr>
            <w:tcW w:w="8245" w:type="dxa"/>
            <w:gridSpan w:val="3"/>
          </w:tcPr>
          <w:p w:rsidR="00CB6F02" w:rsidRDefault="00675338">
            <w:pPr>
              <w:spacing w:after="0" w:line="240" w:lineRule="auto"/>
              <w:rPr>
                <w:rFonts w:ascii="Arial Nova Light" w:hAnsi="Arial Nova Light"/>
              </w:rPr>
            </w:pPr>
            <w:r>
              <w:rPr>
                <w:rFonts w:ascii="Arial Nova Light" w:eastAsia="Calibri" w:hAnsi="Arial Nova Light"/>
              </w:rPr>
              <w:t>Uwaga! W przypadku składania ankiety w formie elektronicznej oświadczenie należy podpisać przy użyciu kwalifikowanego podpisu elektronicznego</w:t>
            </w:r>
          </w:p>
        </w:tc>
      </w:tr>
    </w:tbl>
    <w:p w:rsidR="00CB6F02" w:rsidRDefault="00CB6F02">
      <w:pPr>
        <w:spacing w:after="0" w:line="240" w:lineRule="auto"/>
        <w:jc w:val="center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CB6F02">
      <w:pPr>
        <w:spacing w:after="0" w:line="240" w:lineRule="auto"/>
        <w:jc w:val="center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CB6F02">
      <w:pPr>
        <w:spacing w:after="0" w:line="240" w:lineRule="auto"/>
        <w:jc w:val="center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675338">
      <w:pPr>
        <w:spacing w:after="0" w:line="240" w:lineRule="auto"/>
        <w:jc w:val="right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>Data i podpis ………………………….</w:t>
      </w:r>
    </w:p>
    <w:p w:rsidR="00CB6F02" w:rsidRDefault="00CB6F02">
      <w:pPr>
        <w:spacing w:after="0" w:line="240" w:lineRule="auto"/>
        <w:jc w:val="right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CB6F02">
      <w:pPr>
        <w:spacing w:after="0" w:line="240" w:lineRule="auto"/>
        <w:jc w:val="right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CB6F02">
      <w:pPr>
        <w:spacing w:after="0" w:line="240" w:lineRule="auto"/>
        <w:jc w:val="right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CB6F02">
      <w:pPr>
        <w:spacing w:after="0" w:line="240" w:lineRule="auto"/>
        <w:jc w:val="right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CB6F02">
      <w:pPr>
        <w:spacing w:after="0" w:line="240" w:lineRule="auto"/>
        <w:jc w:val="right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CB6F02">
      <w:pPr>
        <w:spacing w:after="0" w:line="240" w:lineRule="auto"/>
        <w:jc w:val="right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CB6F02">
      <w:pPr>
        <w:spacing w:after="0" w:line="240" w:lineRule="auto"/>
        <w:jc w:val="right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675338">
      <w:pPr>
        <w:spacing w:after="0" w:line="240" w:lineRule="auto"/>
        <w:jc w:val="center"/>
        <w:rPr>
          <w:rFonts w:ascii="Arial Nova Light" w:eastAsia="Times New Roman" w:hAnsi="Arial Nova Light" w:cs="Arial"/>
          <w:b/>
          <w:bCs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b/>
          <w:bCs/>
          <w:color w:val="212529"/>
          <w:sz w:val="24"/>
          <w:szCs w:val="24"/>
          <w:lang w:eastAsia="pl-PL"/>
        </w:rPr>
        <w:t>Instrukcja wypełniania Ankiety</w:t>
      </w:r>
    </w:p>
    <w:p w:rsidR="00CB6F02" w:rsidRDefault="00CB6F02">
      <w:pPr>
        <w:spacing w:after="0" w:line="240" w:lineRule="auto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</w:p>
    <w:p w:rsidR="00CB6F02" w:rsidRDefault="00675338">
      <w:pPr>
        <w:pStyle w:val="Akapitzlist"/>
        <w:numPr>
          <w:ilvl w:val="0"/>
          <w:numId w:val="1"/>
        </w:numPr>
        <w:spacing w:after="0" w:line="360" w:lineRule="auto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>Wykonawca musi zaznaczyć we wszystkich pozycja od 1 do 3: „Tak” albo „Nie”</w:t>
      </w:r>
    </w:p>
    <w:p w:rsidR="00CB6F02" w:rsidRDefault="00675338">
      <w:pPr>
        <w:pStyle w:val="Akapitzlist"/>
        <w:numPr>
          <w:ilvl w:val="0"/>
          <w:numId w:val="1"/>
        </w:numPr>
        <w:spacing w:after="0" w:line="360" w:lineRule="auto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lastRenderedPageBreak/>
        <w:t>W przypadku zaznaczenia dla pozycji 1 albo 2 albo  3 odpowiedzi „Tak” Wykonawca otrzyma poziom zgodności – „zgodny” Nie jest wówczas zobligowany do uzupełnienia dalszej części ankiety tj. od poz. 4 do poz. 27.</w:t>
      </w:r>
    </w:p>
    <w:p w:rsidR="00CB6F02" w:rsidRDefault="00675338">
      <w:pPr>
        <w:pStyle w:val="Akapitzlist"/>
        <w:numPr>
          <w:ilvl w:val="0"/>
          <w:numId w:val="1"/>
        </w:numPr>
        <w:spacing w:after="0" w:line="360" w:lineRule="auto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>W przypadku zaznaczenia w pozycji 1 i 2 i 3 odpowiedzi  „Nie” Wykonawca zobowiązany jest wypełnić dalszą część ankiety tj. od poz. 4 do poz. 27.</w:t>
      </w:r>
    </w:p>
    <w:p w:rsidR="00CB6F02" w:rsidRDefault="00675338">
      <w:pPr>
        <w:pStyle w:val="Akapitzlist"/>
        <w:numPr>
          <w:ilvl w:val="0"/>
          <w:numId w:val="1"/>
        </w:numPr>
        <w:spacing w:after="0" w:line="360" w:lineRule="auto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 xml:space="preserve">W każdej z ww. pozycji (wyjątek poz. 13) Wykonawca musi zaznaczyć jedną </w:t>
      </w: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br/>
        <w:t>z możliwych odpowiedzi: „Tak” albo  „Nie” albo „N.D.” W przypadku zaznaczenia „N.D.” (nie dotyczy) Wykonawca musi wypełnić dodatkowo kolumnę  „Uwagi” uzasadniając dlaczego nie dotyczy go dane pytanie.</w:t>
      </w:r>
    </w:p>
    <w:p w:rsidR="00CB6F02" w:rsidRDefault="00675338">
      <w:pPr>
        <w:pStyle w:val="Akapitzlist"/>
        <w:numPr>
          <w:ilvl w:val="0"/>
          <w:numId w:val="1"/>
        </w:numPr>
        <w:spacing w:after="0" w:line="360" w:lineRule="auto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 xml:space="preserve">Wypełnienie ankiety w </w:t>
      </w:r>
      <w:proofErr w:type="spellStart"/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>excellu</w:t>
      </w:r>
      <w:proofErr w:type="spellEnd"/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 xml:space="preserve"> w całości kończy się komunikatem „ankieta kompletna” oraz pokazuje poziom zgodności „niezgodny” albo „częściowo zgodny” albo „zgodny”. W przypadku wypełnienia w formacie .</w:t>
      </w:r>
      <w:proofErr w:type="spellStart"/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>doc</w:t>
      </w:r>
      <w:proofErr w:type="spellEnd"/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 xml:space="preserve"> Zamawiający wyliczy poziom zgodności, przyjmując niżej opisane zasady. Nie wypełnienie którejkolwiek z poz. od 4 do 27 (wyjątek poz. 13), w przypadku braku zaznaczenia odpowiedzi „TAK” dla pozycji 1 lub 2 lub 3 oznacza komunikat „ankieta niekompletna”.</w:t>
      </w:r>
    </w:p>
    <w:p w:rsidR="00CB6F02" w:rsidRDefault="00675338">
      <w:pPr>
        <w:pStyle w:val="Akapitzlist"/>
        <w:numPr>
          <w:ilvl w:val="0"/>
          <w:numId w:val="1"/>
        </w:numPr>
        <w:spacing w:after="0" w:line="360" w:lineRule="auto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>W celu podpisania umowy głównej Ankieta musi osiągnąć poziom zgodności „częściowo zgodny” albo „zgodny”.</w:t>
      </w:r>
    </w:p>
    <w:p w:rsidR="00CB6F02" w:rsidRDefault="00675338">
      <w:pPr>
        <w:pStyle w:val="Akapitzlist"/>
        <w:numPr>
          <w:ilvl w:val="0"/>
          <w:numId w:val="1"/>
        </w:numPr>
        <w:spacing w:after="0" w:line="360" w:lineRule="auto"/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</w:pPr>
      <w:r>
        <w:rPr>
          <w:rFonts w:ascii="Arial Nova Light" w:eastAsia="Times New Roman" w:hAnsi="Arial Nova Light" w:cs="Arial"/>
          <w:color w:val="212529"/>
          <w:sz w:val="24"/>
          <w:szCs w:val="24"/>
          <w:lang w:eastAsia="pl-PL"/>
        </w:rPr>
        <w:t>Komunikat „ankieta niekompletna” albo Ankieta z wynikiem na poziomie zgodności „niezgodny” (poziom zgodności poniżej 60%) albo brak złożenia Ankiety w wyznaczonym terminie będzie potraktowane przez Zamawiającego jako niemożność zawarcia umowy głównej w sprawie zamówienia przyczyn leżących po stronie Wykonawcy.</w:t>
      </w:r>
    </w:p>
    <w:sectPr w:rsidR="00CB6F02" w:rsidSect="00CB6F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D90" w:rsidRDefault="000D6D90" w:rsidP="004D76DA">
      <w:pPr>
        <w:spacing w:after="0" w:line="240" w:lineRule="auto"/>
      </w:pPr>
      <w:r>
        <w:separator/>
      </w:r>
    </w:p>
  </w:endnote>
  <w:endnote w:type="continuationSeparator" w:id="0">
    <w:p w:rsidR="000D6D90" w:rsidRDefault="000D6D90" w:rsidP="004D7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ova Light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2EE" w:rsidRDefault="001A02E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2EE" w:rsidRDefault="001A02E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2EE" w:rsidRDefault="001A02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D90" w:rsidRDefault="000D6D90" w:rsidP="004D76DA">
      <w:pPr>
        <w:spacing w:after="0" w:line="240" w:lineRule="auto"/>
      </w:pPr>
      <w:r>
        <w:separator/>
      </w:r>
    </w:p>
  </w:footnote>
  <w:footnote w:type="continuationSeparator" w:id="0">
    <w:p w:rsidR="000D6D90" w:rsidRDefault="000D6D90" w:rsidP="004D7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2EE" w:rsidRDefault="001A02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6DA" w:rsidRDefault="004D76DA" w:rsidP="004D76DA">
    <w:pPr>
      <w:jc w:val="right"/>
      <w:rPr>
        <w:rFonts w:ascii="Times New Roman" w:hAnsi="Times New Roman"/>
        <w:b/>
      </w:rPr>
    </w:pPr>
  </w:p>
  <w:p w:rsidR="004D76DA" w:rsidRDefault="001A02EE" w:rsidP="001A02EE">
    <w:pPr>
      <w:tabs>
        <w:tab w:val="left" w:pos="6135"/>
      </w:tabs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</w:p>
  <w:p w:rsidR="004D76DA" w:rsidRPr="004D76DA" w:rsidRDefault="004D76DA" w:rsidP="004D76DA">
    <w:pPr>
      <w:jc w:val="right"/>
      <w:rPr>
        <w:rFonts w:ascii="Times New Roman" w:hAnsi="Times New Roman"/>
        <w:b/>
        <w:sz w:val="24"/>
        <w:szCs w:val="24"/>
      </w:rPr>
    </w:pPr>
    <w:r w:rsidRPr="00790F22">
      <w:rPr>
        <w:rFonts w:ascii="Times New Roman" w:hAnsi="Times New Roman"/>
        <w:b/>
      </w:rPr>
      <w:t>Załącznik nr</w:t>
    </w:r>
    <w:r>
      <w:rPr>
        <w:rFonts w:ascii="Times New Roman" w:hAnsi="Times New Roman"/>
        <w:b/>
      </w:rPr>
      <w:t xml:space="preserve"> </w:t>
    </w:r>
    <w:r w:rsidR="001A02EE">
      <w:rPr>
        <w:rFonts w:ascii="Times New Roman" w:hAnsi="Times New Roman"/>
        <w:b/>
      </w:rPr>
      <w:t>9</w:t>
    </w:r>
    <w:r w:rsidRPr="00790F22">
      <w:rPr>
        <w:rFonts w:ascii="Times New Roman" w:hAnsi="Times New Roman"/>
        <w:b/>
      </w:rPr>
      <w:t xml:space="preserve">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2EE" w:rsidRDefault="001A02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E634D"/>
    <w:multiLevelType w:val="multilevel"/>
    <w:tmpl w:val="843434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F40EB2"/>
    <w:multiLevelType w:val="multilevel"/>
    <w:tmpl w:val="1C2655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F02"/>
    <w:rsid w:val="000D6D90"/>
    <w:rsid w:val="001A02EE"/>
    <w:rsid w:val="004D76DA"/>
    <w:rsid w:val="00675338"/>
    <w:rsid w:val="00CB6F02"/>
    <w:rsid w:val="00EE5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F0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CB6F0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B6F02"/>
    <w:pPr>
      <w:spacing w:after="140" w:line="276" w:lineRule="auto"/>
    </w:pPr>
  </w:style>
  <w:style w:type="paragraph" w:styleId="Lista">
    <w:name w:val="List"/>
    <w:basedOn w:val="Tekstpodstawowy"/>
    <w:rsid w:val="00CB6F02"/>
    <w:rPr>
      <w:rFonts w:cs="Lucida Sans"/>
    </w:rPr>
  </w:style>
  <w:style w:type="paragraph" w:customStyle="1" w:styleId="Caption">
    <w:name w:val="Caption"/>
    <w:basedOn w:val="Normalny"/>
    <w:qFormat/>
    <w:rsid w:val="00CB6F0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B6F02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5687E"/>
    <w:pPr>
      <w:ind w:left="720"/>
      <w:contextualSpacing/>
    </w:pPr>
  </w:style>
  <w:style w:type="table" w:styleId="Tabela-Siatka">
    <w:name w:val="Table Grid"/>
    <w:basedOn w:val="Standardowy"/>
    <w:uiPriority w:val="39"/>
    <w:rsid w:val="006148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4D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D76D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1090</Words>
  <Characters>6541</Characters>
  <Application>Microsoft Office Word</Application>
  <DocSecurity>0</DocSecurity>
  <Lines>54</Lines>
  <Paragraphs>15</Paragraphs>
  <ScaleCrop>false</ScaleCrop>
  <Company/>
  <LinksUpToDate>false</LinksUpToDate>
  <CharactersWithSpaces>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Duch-Kosiorek</dc:creator>
  <dc:description/>
  <cp:lastModifiedBy>zegadlo.d</cp:lastModifiedBy>
  <cp:revision>3</cp:revision>
  <dcterms:created xsi:type="dcterms:W3CDTF">2022-10-11T09:23:00Z</dcterms:created>
  <dcterms:modified xsi:type="dcterms:W3CDTF">2022-11-17T09:23:00Z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