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agwek1"/>
        <w:tabs>
          <w:tab w:val="clear" w:pos="708"/>
          <w:tab w:val="left" w:pos="7485" w:leader="none"/>
        </w:tabs>
        <w:spacing w:before="0" w:after="0"/>
        <w:jc w:val="left"/>
        <w:rPr>
          <w:rFonts w:ascii="Times New Roman" w:hAnsi="Times New Roman" w:cs="Times New Roman"/>
          <w:b/>
          <w:b/>
          <w:bCs/>
          <w:color w:val="00000A"/>
          <w:w w:val="90"/>
          <w:sz w:val="24"/>
          <w:szCs w:val="24"/>
        </w:rPr>
      </w:pPr>
      <w:r>
        <w:rPr>
          <w:rFonts w:cs="Times New Roman" w:ascii="Times New Roman" w:hAnsi="Times New Roman"/>
          <w:sz w:val="24"/>
          <w:szCs w:val="24"/>
        </w:rPr>
        <w:tab/>
      </w:r>
    </w:p>
    <w:p>
      <w:pPr>
        <w:pStyle w:val="Nagwek3"/>
        <w:spacing w:lineRule="auto" w:line="360" w:before="0" w:after="0"/>
        <w:jc w:val="center"/>
        <w:rPr>
          <w:rFonts w:ascii="Times New Roman" w:hAnsi="Times New Roman" w:cs="Times New Roman"/>
          <w:sz w:val="24"/>
          <w:szCs w:val="24"/>
        </w:rPr>
      </w:pPr>
      <w:r>
        <w:rPr>
          <w:rFonts w:cs="Times New Roman" w:ascii="Times New Roman" w:hAnsi="Times New Roman"/>
          <w:b/>
          <w:bCs/>
          <w:color w:val="00000A"/>
          <w:w w:val="90"/>
          <w:sz w:val="24"/>
          <w:szCs w:val="24"/>
        </w:rPr>
        <w:t xml:space="preserve">Umowa na zakup energii elektrycznej i sprzedaż energii elektrycznej z OZE </w:t>
        <w:br/>
        <w:t>z usługą bilansowania handlowego nr ………………..</w:t>
        <w:b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zawarta w dniu ……………………………….. r. w Radomsku pomiędzy: </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eastAsia="Times New Roman" w:cs="Times New Roman" w:ascii="Times New Roman" w:hAnsi="Times New Roman"/>
          <w:b/>
          <w:bCs/>
          <w:color w:val="FF0000"/>
          <w:sz w:val="24"/>
          <w:szCs w:val="24"/>
        </w:rPr>
        <w:t xml:space="preserve">       </w:t>
      </w:r>
      <w:r>
        <w:rPr>
          <w:rFonts w:cs="Times New Roman" w:ascii="Times New Roman" w:hAnsi="Times New Roman"/>
          <w:b/>
          <w:bCs/>
          <w:color w:val="000000"/>
          <w:sz w:val="24"/>
          <w:szCs w:val="24"/>
        </w:rPr>
        <w:t>Nabywca:</w:t>
        <w:tab/>
        <w:t>Powiatem Radomszczański</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cs="Times New Roman" w:ascii="Times New Roman" w:hAnsi="Times New Roman"/>
          <w:b/>
          <w:bCs/>
          <w:color w:val="000000"/>
          <w:sz w:val="24"/>
          <w:szCs w:val="24"/>
        </w:rPr>
        <w:tab/>
        <w:tab/>
        <w:tab/>
        <w:t>ul. Leszka Czarnego 22</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cs="Times New Roman" w:ascii="Times New Roman" w:hAnsi="Times New Roman"/>
          <w:b/>
          <w:bCs/>
          <w:color w:val="000000"/>
          <w:sz w:val="24"/>
          <w:szCs w:val="24"/>
        </w:rPr>
        <w:tab/>
        <w:tab/>
        <w:tab/>
        <w:t xml:space="preserve">97-500 Radomsko                                                   </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color w:val="000000"/>
          <w:sz w:val="24"/>
          <w:szCs w:val="24"/>
        </w:rPr>
      </w:pPr>
      <w:r>
        <w:rPr>
          <w:rFonts w:cs="Times New Roman" w:ascii="Times New Roman" w:hAnsi="Times New Roman"/>
          <w:b/>
          <w:bCs/>
          <w:color w:val="000000"/>
          <w:sz w:val="24"/>
          <w:szCs w:val="24"/>
        </w:rPr>
        <w:tab/>
        <w:tab/>
        <w:tab/>
        <w:t>NIP: 772-22-61-699</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cs="Times New Roman" w:ascii="Times New Roman" w:hAnsi="Times New Roman"/>
          <w:color w:val="000000"/>
          <w:sz w:val="24"/>
          <w:szCs w:val="24"/>
        </w:rPr>
        <w:tab/>
      </w:r>
      <w:r>
        <w:rPr>
          <w:rFonts w:cs="Times New Roman" w:ascii="Times New Roman" w:hAnsi="Times New Roman"/>
          <w:b/>
          <w:bCs/>
          <w:color w:val="000000"/>
          <w:sz w:val="24"/>
          <w:szCs w:val="24"/>
        </w:rPr>
        <w:t>Odbiorca:</w:t>
        <w:tab/>
        <w:t>Dom Pomocy Społecznej</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cs="Times New Roman" w:ascii="Times New Roman" w:hAnsi="Times New Roman"/>
          <w:b/>
          <w:bCs/>
          <w:color w:val="000000"/>
          <w:sz w:val="24"/>
          <w:szCs w:val="24"/>
        </w:rPr>
        <w:tab/>
        <w:tab/>
        <w:tab/>
        <w:t>ul. I. Krasickiego 138</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cs="Times New Roman" w:ascii="Times New Roman" w:hAnsi="Times New Roman"/>
          <w:b/>
          <w:bCs/>
          <w:color w:val="000000"/>
          <w:sz w:val="24"/>
          <w:szCs w:val="24"/>
        </w:rPr>
        <w:tab/>
        <w:tab/>
        <w:tab/>
        <w:t>97-500 Radomsko</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tLeast" w:line="100"/>
        <w:ind w:left="0" w:right="0" w:hanging="426"/>
        <w:jc w:val="left"/>
        <w:rPr>
          <w:rFonts w:ascii="Times New Roman" w:hAnsi="Times New Roman" w:cs="Times New Roman"/>
          <w:b/>
          <w:b/>
          <w:bCs/>
          <w:color w:val="000000"/>
          <w:sz w:val="24"/>
          <w:szCs w:val="24"/>
        </w:rPr>
      </w:pPr>
      <w:r>
        <w:rPr>
          <w:rFonts w:cs="Times New Roman" w:ascii="Times New Roman" w:hAnsi="Times New Roman"/>
          <w:b/>
          <w:bCs/>
          <w:color w:val="000000"/>
          <w:sz w:val="24"/>
          <w:szCs w:val="24"/>
        </w:rPr>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ind w:left="0" w:right="0" w:hanging="426"/>
        <w:jc w:val="left"/>
        <w:rPr>
          <w:rFonts w:ascii="Times New Roman" w:hAnsi="Times New Roman" w:cs="Times New Roman"/>
          <w:sz w:val="24"/>
          <w:szCs w:val="24"/>
        </w:rPr>
      </w:pPr>
      <w:r>
        <w:rPr>
          <w:rFonts w:cs="Times New Roman" w:ascii="Times New Roman" w:hAnsi="Times New Roman"/>
          <w:b/>
          <w:bCs/>
          <w:color w:val="000000"/>
          <w:sz w:val="24"/>
          <w:szCs w:val="24"/>
        </w:rPr>
        <w:tab/>
      </w:r>
      <w:r>
        <w:rPr>
          <w:rFonts w:cs="Times New Roman" w:ascii="Times New Roman" w:hAnsi="Times New Roman"/>
          <w:sz w:val="24"/>
          <w:szCs w:val="24"/>
        </w:rPr>
        <w:t xml:space="preserve">zwanym w treści Umowy </w:t>
      </w:r>
      <w:r>
        <w:rPr>
          <w:rFonts w:cs="Times New Roman" w:ascii="Times New Roman" w:hAnsi="Times New Roman"/>
          <w:b/>
          <w:bCs/>
          <w:sz w:val="24"/>
          <w:szCs w:val="24"/>
        </w:rPr>
        <w:t>„Zamawiającym”,</w:t>
      </w:r>
      <w:r>
        <w:rPr>
          <w:rFonts w:cs="Times New Roman" w:ascii="Times New Roman" w:hAnsi="Times New Roman"/>
          <w:sz w:val="24"/>
          <w:szCs w:val="24"/>
        </w:rPr>
        <w:t xml:space="preserve"> reprezentowanym przez:</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Dyrektora – Mariola Kaczmarczyk - Utratna </w:t>
      </w:r>
    </w:p>
    <w:p>
      <w:pPr>
        <w:pStyle w:val="ListParagraph"/>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ind w:left="0" w:right="0" w:hanging="0"/>
        <w:jc w:val="left"/>
        <w:rPr>
          <w:rFonts w:ascii="Times New Roman" w:hAnsi="Times New Roman" w:cs="Times New Roman"/>
          <w:b w:val="false"/>
          <w:b w:val="false"/>
          <w:bCs w:val="false"/>
          <w:sz w:val="24"/>
          <w:szCs w:val="24"/>
        </w:rPr>
      </w:pPr>
      <w:bookmarkStart w:id="0" w:name="_Hlk126674617"/>
      <w:bookmarkEnd w:id="0"/>
      <w:r>
        <w:rPr>
          <w:rFonts w:cs="Times New Roman" w:ascii="Times New Roman" w:hAnsi="Times New Roman"/>
          <w:sz w:val="24"/>
          <w:szCs w:val="24"/>
        </w:rPr>
        <w:t>a</w:t>
      </w:r>
    </w:p>
    <w:p>
      <w:pPr>
        <w:pStyle w:val="Normal"/>
        <w:widowControl w:val="false"/>
        <w:tabs>
          <w:tab w:val="clear" w:pos="708"/>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s>
        <w:spacing w:lineRule="auto" w:line="360"/>
        <w:jc w:val="left"/>
        <w:rPr>
          <w:rFonts w:ascii="Times New Roman" w:hAnsi="Times New Roman" w:cs="Times New Roman"/>
          <w:b/>
          <w:b/>
          <w:sz w:val="24"/>
          <w:szCs w:val="24"/>
        </w:rPr>
      </w:pPr>
      <w:r>
        <w:rPr>
          <w:rFonts w:cs="Times New Roman" w:ascii="Times New Roman" w:hAnsi="Times New Roman"/>
          <w:b w:val="false"/>
          <w:bCs w:val="false"/>
          <w:sz w:val="24"/>
          <w:szCs w:val="24"/>
        </w:rPr>
        <w:t>…………………………………………………</w:t>
      </w:r>
      <w:r>
        <w:rPr>
          <w:rFonts w:eastAsia="Times New Roman" w:cs="Times New Roman" w:ascii="Times New Roman" w:hAnsi="Times New Roman"/>
          <w:sz w:val="24"/>
          <w:szCs w:val="24"/>
        </w:rPr>
        <w:t xml:space="preserve"> </w:t>
      </w:r>
      <w:r>
        <w:rPr>
          <w:rFonts w:cs="Times New Roman" w:ascii="Times New Roman" w:hAnsi="Times New Roman"/>
          <w:sz w:val="24"/>
          <w:szCs w:val="24"/>
        </w:rPr>
        <w:t>wpisaną do ewidencji działalności gospodarczej KRS ………………………………………….. pod numerem NIP ……………………….., REGON ………………………………, zwanym dalej „</w:t>
      </w:r>
      <w:r>
        <w:rPr>
          <w:rFonts w:cs="Times New Roman" w:ascii="Times New Roman" w:hAnsi="Times New Roman"/>
          <w:b/>
          <w:sz w:val="24"/>
          <w:szCs w:val="24"/>
        </w:rPr>
        <w:t>Wykonawcą</w:t>
      </w:r>
      <w:r>
        <w:rPr>
          <w:rFonts w:cs="Times New Roman" w:ascii="Times New Roman" w:hAnsi="Times New Roman"/>
          <w:sz w:val="24"/>
          <w:szCs w:val="24"/>
        </w:rPr>
        <w:t xml:space="preserve">”, reprezentowanym przez: </w:t>
      </w:r>
    </w:p>
    <w:p>
      <w:pPr>
        <w:pStyle w:val="ListParagraph"/>
        <w:spacing w:lineRule="auto" w:line="360"/>
        <w:ind w:left="0" w:right="0" w:hanging="0"/>
        <w:jc w:val="left"/>
        <w:rPr>
          <w:rFonts w:ascii="Times New Roman" w:hAnsi="Times New Roman" w:cs="Times New Roman"/>
          <w:sz w:val="24"/>
          <w:szCs w:val="24"/>
        </w:rPr>
      </w:pPr>
      <w:r>
        <w:rPr>
          <w:rFonts w:cs="Times New Roman" w:ascii="Times New Roman" w:hAnsi="Times New Roman"/>
          <w:b/>
          <w:sz w:val="24"/>
          <w:szCs w:val="24"/>
        </w:rPr>
        <w:t>………………………………………………………</w:t>
      </w:r>
      <w:r>
        <w:rPr>
          <w:rFonts w:cs="Times New Roman" w:ascii="Times New Roman" w:hAnsi="Times New Roman"/>
          <w:b/>
          <w:sz w:val="24"/>
          <w:szCs w:val="24"/>
        </w:rPr>
        <w:t xml:space="preserve">. </w:t>
      </w:r>
    </w:p>
    <w:p>
      <w:pPr>
        <w:pStyle w:val="Normal"/>
        <w:widowControl w:val="false"/>
        <w:spacing w:lineRule="auto" w:line="360"/>
        <w:jc w:val="left"/>
        <w:rPr>
          <w:rFonts w:ascii="Times New Roman" w:hAnsi="Times New Roman" w:cs="Times New Roman"/>
          <w:sz w:val="24"/>
          <w:szCs w:val="24"/>
        </w:rPr>
      </w:pPr>
      <w:r>
        <w:rPr>
          <w:rFonts w:cs="Times New Roman" w:ascii="Times New Roman" w:hAnsi="Times New Roman"/>
          <w:sz w:val="24"/>
          <w:szCs w:val="24"/>
        </w:rPr>
      </w:r>
    </w:p>
    <w:p>
      <w:pPr>
        <w:pStyle w:val="Normal"/>
        <w:widowControl w:val="false"/>
        <w:spacing w:lineRule="auto" w:line="360"/>
        <w:jc w:val="left"/>
        <w:rPr>
          <w:rFonts w:ascii="Times New Roman" w:hAnsi="Times New Roman" w:cs="Times New Roman"/>
          <w:b/>
          <w:b/>
          <w:sz w:val="24"/>
          <w:szCs w:val="24"/>
        </w:rPr>
      </w:pPr>
      <w:r>
        <w:rPr>
          <w:rFonts w:cs="Times New Roman" w:ascii="Times New Roman" w:hAnsi="Times New Roman"/>
          <w:sz w:val="24"/>
          <w:szCs w:val="24"/>
        </w:rPr>
        <w:t>o następującej treści:</w:t>
      </w:r>
    </w:p>
    <w:p>
      <w:pPr>
        <w:pStyle w:val="Normal"/>
        <w:spacing w:lineRule="auto" w:line="360"/>
        <w:jc w:val="left"/>
        <w:rPr>
          <w:rFonts w:ascii="Times New Roman" w:hAnsi="Times New Roman" w:cs="Times New Roman"/>
          <w:sz w:val="24"/>
          <w:szCs w:val="24"/>
        </w:rPr>
      </w:pPr>
      <w:r>
        <w:rPr>
          <w:rFonts w:cs="Times New Roman" w:ascii="Times New Roman" w:hAnsi="Times New Roman"/>
          <w:b/>
          <w:sz w:val="24"/>
          <w:szCs w:val="24"/>
        </w:rPr>
        <w:t>Wykonawca</w:t>
      </w:r>
      <w:r>
        <w:rPr>
          <w:rFonts w:cs="Times New Roman" w:ascii="Times New Roman" w:hAnsi="Times New Roman"/>
          <w:sz w:val="24"/>
          <w:szCs w:val="24"/>
        </w:rPr>
        <w:t xml:space="preserve"> i </w:t>
      </w:r>
      <w:r>
        <w:rPr>
          <w:rFonts w:cs="Times New Roman" w:ascii="Times New Roman" w:hAnsi="Times New Roman"/>
          <w:b/>
          <w:sz w:val="24"/>
          <w:szCs w:val="24"/>
        </w:rPr>
        <w:t>Zamawiający</w:t>
      </w:r>
      <w:r>
        <w:rPr>
          <w:rFonts w:cs="Times New Roman" w:ascii="Times New Roman" w:hAnsi="Times New Roman"/>
          <w:sz w:val="24"/>
          <w:szCs w:val="24"/>
        </w:rPr>
        <w:t xml:space="preserve"> w treści Umowy zwani są </w:t>
      </w:r>
      <w:r>
        <w:rPr>
          <w:rFonts w:cs="Times New Roman" w:ascii="Times New Roman" w:hAnsi="Times New Roman"/>
          <w:b/>
          <w:sz w:val="24"/>
          <w:szCs w:val="24"/>
        </w:rPr>
        <w:t>Stronami</w:t>
      </w:r>
      <w:r>
        <w:rPr>
          <w:rFonts w:cs="Times New Roman" w:ascii="Times New Roman" w:hAnsi="Times New Roman"/>
          <w:sz w:val="24"/>
          <w:szCs w:val="24"/>
        </w:rPr>
        <w:t>.</w:t>
      </w:r>
    </w:p>
    <w:p>
      <w:pPr>
        <w:pStyle w:val="Footnotetext"/>
        <w:tabs>
          <w:tab w:val="clear" w:pos="708"/>
          <w:tab w:val="right" w:pos="10205"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left"/>
        <w:rPr>
          <w:rFonts w:ascii="Times New Roman" w:hAnsi="Times New Roman" w:cs="Times New Roman"/>
          <w:sz w:val="24"/>
          <w:szCs w:val="24"/>
        </w:rPr>
      </w:pPr>
      <w:r>
        <w:rPr>
          <w:rFonts w:cs="Times New Roman" w:ascii="Times New Roman" w:hAnsi="Times New Roman"/>
          <w:b/>
          <w:sz w:val="24"/>
          <w:szCs w:val="24"/>
        </w:rPr>
        <w:t>Strony</w:t>
      </w:r>
      <w:r>
        <w:rPr>
          <w:rFonts w:cs="Times New Roman" w:ascii="Times New Roman" w:hAnsi="Times New Roman"/>
          <w:sz w:val="24"/>
          <w:szCs w:val="24"/>
        </w:rPr>
        <w:t>, mając na uwadze zasadę ekwiwalentności wzajemnych świadczeń, ustaliły następujące zasady i warunki dostawy i sprzedaży energii elektrycznej:</w:t>
      </w:r>
    </w:p>
    <w:p>
      <w:pPr>
        <w:pStyle w:val="Normal"/>
        <w:spacing w:lineRule="auto" w:line="360"/>
        <w:jc w:val="lef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center"/>
        <w:rPr>
          <w:rFonts w:ascii="Times New Roman" w:hAnsi="Times New Roman" w:cs="Times New Roman"/>
          <w:sz w:val="24"/>
          <w:szCs w:val="24"/>
        </w:rPr>
      </w:pPr>
      <w:r>
        <w:rPr>
          <w:rFonts w:cs="Times New Roman" w:ascii="Times New Roman" w:hAnsi="Times New Roman"/>
          <w:b/>
          <w:sz w:val="24"/>
          <w:szCs w:val="24"/>
        </w:rPr>
        <w:t>§ 1</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Sprzedaż energii elektrycznej odbywa się na warunkach określonych przepisami ustawy </w:t>
        <w:br/>
        <w:t xml:space="preserve">z dnia 10 kwietnia 1997 r. - Prawo energetyczne (t.j. Dz. U. z 2026 r. poz. 43, 516, 607, 900 zwanej dalej „Prawo energetyczne”), zgodnie z obowiązującymi rozporządzeniami do ww. ustawy oraz przepisami Ustawy z dnia 23 kwietnia 1964 r. Kodeks Cywilny (t.j. Dz. U. z 2026 r. poz. 795), zwanej dalej „Kodeks Cywilny”, zasadami określonymi w koncesjach, postanowieniami niniejszej Umowy, w oparciu o ustawę z dnia 11 września 2019 r. Prawo Zamówień Publicznych (t.j. Dz. U. z 2026 r. poz. 793). Sprzedaż odbywa się za pośrednictwem sieci dystrybucyjnej należącej do lokalnego Operatora Systemu Dystrybucyjnego PGE Dystrybucja S.A. - Łódź Teren (zwanego dalej </w:t>
      </w:r>
      <w:r>
        <w:rPr>
          <w:rFonts w:cs="Times New Roman" w:ascii="Times New Roman" w:hAnsi="Times New Roman"/>
          <w:b/>
          <w:bCs/>
          <w:sz w:val="24"/>
          <w:szCs w:val="24"/>
        </w:rPr>
        <w:t>OSD</w:t>
      </w:r>
      <w:r>
        <w:rPr>
          <w:rFonts w:cs="Times New Roman" w:ascii="Times New Roman" w:hAnsi="Times New Roman"/>
          <w:sz w:val="24"/>
          <w:szCs w:val="24"/>
        </w:rPr>
        <w:t xml:space="preserve">), z którym </w:t>
      </w:r>
      <w:r>
        <w:rPr>
          <w:rFonts w:cs="Times New Roman" w:ascii="Times New Roman" w:hAnsi="Times New Roman"/>
          <w:b/>
          <w:sz w:val="24"/>
          <w:szCs w:val="24"/>
        </w:rPr>
        <w:t xml:space="preserve">Zamawiający </w:t>
      </w:r>
      <w:r>
        <w:rPr>
          <w:rFonts w:cs="Times New Roman" w:ascii="Times New Roman" w:hAnsi="Times New Roman"/>
          <w:sz w:val="24"/>
          <w:szCs w:val="24"/>
        </w:rPr>
        <w:t xml:space="preserve">ma podpisaną umowę o świadczenie usług dystrybucyjnych.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Niniejsza Umowa reguluje wyłącznie warunki sprzedaży energii elektrycznej na rzecz Zamawiającego i zakupu energii elektrycznej wytworzonej przez Zamawiającego, i nie zastępuje umowy o świadczenie usług dystrybucyjnych.</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b/>
          <w:b/>
          <w:sz w:val="24"/>
          <w:szCs w:val="24"/>
        </w:rPr>
      </w:pPr>
      <w:r>
        <w:rPr>
          <w:rFonts w:cs="Times New Roman" w:ascii="Times New Roman" w:hAnsi="Times New Roman"/>
          <w:b/>
          <w:sz w:val="24"/>
          <w:szCs w:val="24"/>
        </w:rPr>
        <w:t xml:space="preserve">Wykonawca </w:t>
      </w:r>
      <w:r>
        <w:rPr>
          <w:rFonts w:cs="Times New Roman" w:ascii="Times New Roman" w:hAnsi="Times New Roman"/>
          <w:sz w:val="24"/>
          <w:szCs w:val="24"/>
        </w:rPr>
        <w:t>oświadcza, że</w:t>
      </w:r>
      <w:r>
        <w:rPr>
          <w:rFonts w:cs="Times New Roman" w:ascii="Times New Roman" w:hAnsi="Times New Roman"/>
          <w:b/>
          <w:sz w:val="24"/>
          <w:szCs w:val="24"/>
        </w:rPr>
        <w:t xml:space="preserve"> </w:t>
      </w:r>
      <w:r>
        <w:rPr>
          <w:rFonts w:cs="Times New Roman" w:ascii="Times New Roman" w:hAnsi="Times New Roman"/>
          <w:sz w:val="24"/>
          <w:szCs w:val="24"/>
        </w:rPr>
        <w:t xml:space="preserve">posiada koncesję na obrót energią elektryczną </w:t>
      </w:r>
      <w:bookmarkStart w:id="1" w:name="Tekst16"/>
      <w:r>
        <w:rPr>
          <w:rFonts w:cs="Times New Roman" w:ascii="Times New Roman" w:hAnsi="Times New Roman"/>
          <w:sz w:val="24"/>
          <w:szCs w:val="24"/>
        </w:rPr>
        <w:t xml:space="preserve">                                                        </w:t>
      </w:r>
      <w:r>
        <w:rPr>
          <w:rFonts w:cs="Times New Roman" w:ascii="Times New Roman" w:hAnsi="Times New Roman"/>
          <w:b/>
          <w:bCs/>
          <w:sz w:val="24"/>
          <w:szCs w:val="24"/>
        </w:rPr>
        <w:t xml:space="preserve">Nr </w:t>
      </w:r>
      <w:bookmarkEnd w:id="1"/>
      <w:r>
        <w:rPr>
          <w:rFonts w:cs="Times New Roman" w:ascii="Times New Roman" w:hAnsi="Times New Roman"/>
          <w:b/>
          <w:bCs/>
          <w:sz w:val="24"/>
          <w:szCs w:val="24"/>
        </w:rPr>
        <w:t>……………………………….</w:t>
      </w:r>
      <w:r>
        <w:rPr>
          <w:rFonts w:cs="Times New Roman" w:ascii="Times New Roman" w:hAnsi="Times New Roman"/>
          <w:sz w:val="24"/>
          <w:szCs w:val="24"/>
        </w:rPr>
        <w:t xml:space="preserve">, wydaną przez Prezesa Urzędu Regulacji Energetyki w dniu </w:t>
      </w:r>
      <w:r>
        <w:rPr>
          <w:rFonts w:cs="Times New Roman" w:ascii="Times New Roman" w:hAnsi="Times New Roman"/>
          <w:b/>
          <w:bCs/>
          <w:sz w:val="24"/>
          <w:szCs w:val="24"/>
        </w:rPr>
        <w:t xml:space="preserve">…………………………………. </w:t>
      </w:r>
      <w:r>
        <w:rPr>
          <w:rFonts w:cs="Times New Roman" w:ascii="Times New Roman" w:hAnsi="Times New Roman"/>
          <w:sz w:val="24"/>
          <w:szCs w:val="24"/>
        </w:rPr>
        <w:t xml:space="preserve">ważną do </w:t>
      </w:r>
      <w:r>
        <w:rPr>
          <w:rFonts w:cs="Times New Roman" w:ascii="Times New Roman" w:hAnsi="Times New Roman"/>
          <w:b/>
          <w:bCs/>
          <w:sz w:val="24"/>
          <w:szCs w:val="24"/>
        </w:rPr>
        <w:t>………………………………………</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b/>
          <w:b/>
          <w:sz w:val="24"/>
          <w:szCs w:val="24"/>
        </w:rPr>
      </w:pPr>
      <w:r>
        <w:rPr>
          <w:rFonts w:cs="Times New Roman" w:ascii="Times New Roman" w:hAnsi="Times New Roman"/>
          <w:b/>
          <w:sz w:val="24"/>
          <w:szCs w:val="24"/>
        </w:rPr>
        <w:t xml:space="preserve">Wykonawca </w:t>
      </w:r>
      <w:r>
        <w:rPr>
          <w:rFonts w:cs="Times New Roman" w:ascii="Times New Roman" w:hAnsi="Times New Roman"/>
          <w:sz w:val="24"/>
          <w:szCs w:val="24"/>
        </w:rPr>
        <w:t>oświadcza, że ma zawartą stosowną umowę z OSD, umożliwiającą sprzedaż energii elektrycznej do obiektów Zamawiającego za pośrednictwem sieci dystrybucyjnej OSD przez cały okres obowiązywania Umowy.</w:t>
      </w:r>
      <w:r>
        <w:rPr>
          <w:rFonts w:cs="Times New Roman" w:ascii="Times New Roman" w:hAnsi="Times New Roman"/>
          <w:b/>
          <w:sz w:val="24"/>
          <w:szCs w:val="24"/>
        </w:rPr>
        <w:t xml:space="preserve">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b/>
          <w:sz w:val="24"/>
          <w:szCs w:val="24"/>
        </w:rPr>
        <w:t xml:space="preserve">Wykonawca </w:t>
      </w:r>
      <w:r>
        <w:rPr>
          <w:rFonts w:cs="Times New Roman" w:ascii="Times New Roman" w:hAnsi="Times New Roman"/>
          <w:sz w:val="24"/>
          <w:szCs w:val="24"/>
        </w:rPr>
        <w:t xml:space="preserve">zapewnia, że nie ma żadnych przeszkód prawnych bądź faktycznych </w:t>
        <w:br/>
        <w:t xml:space="preserve">do realizacji przez niego niniejszej Umowy.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Energia elektryczna kupowana na podstawie niniejszej umowy zużywana będzie </w:t>
        <w:br/>
        <w:t xml:space="preserve">na potrzeby odbiorcy końcowego, co oznacza Zamawiający nie jest przedsiębiorstwem energetycznym w rozumieniu ustawy Prawo energetyczne.  </w:t>
      </w:r>
    </w:p>
    <w:p>
      <w:pPr>
        <w:pStyle w:val="ListParagraph"/>
        <w:numPr>
          <w:ilvl w:val="0"/>
          <w:numId w:val="2"/>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Wykonawca oświadcza, że posiada i będzie posiadał przez cały okres obowiązywania niniejszej Umowy wszelkie wymagane prawem uprawnienia, w szczególności koncesję na obrót energią elektryczną, generalną umowę dystrybucyjną z OSD właściwym terytorialnie dla Zamawiającego, zezwolenia i decyzje, a także inne niezbędne do właściwego wykonania niniejszej Umowy dokumenty. W przypadku, gdy w trakcie obowiązywania niniejszej Umowy Wykonawcy upływałby termin ważności któregokolwiek z wyżej wskazanych dokumentów, Wykonawca zobowiązany jest w terminie 10 dni od dnia wysłania w formie elektronicznej żądania Zamawiającego dostarczyć Zamawiającemu aktualny dokument lub oświadczenie o przedłużeniu ważności tego dokumentu na okres obowiązywania niniejszej Umowy.</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r>
    </w:p>
    <w:p>
      <w:pPr>
        <w:pStyle w:val="Normal"/>
        <w:spacing w:lineRule="auto" w:line="360"/>
        <w:jc w:val="center"/>
        <w:rPr>
          <w:rFonts w:ascii="Times New Roman" w:hAnsi="Times New Roman" w:cs="Times New Roman"/>
          <w:b/>
          <w:b/>
          <w:sz w:val="24"/>
          <w:szCs w:val="24"/>
        </w:rPr>
      </w:pPr>
      <w:r>
        <w:rPr>
          <w:rFonts w:cs="Times New Roman" w:ascii="Times New Roman" w:hAnsi="Times New Roman"/>
          <w:b/>
          <w:sz w:val="24"/>
          <w:szCs w:val="24"/>
        </w:rPr>
        <w:t>§ 2</w:t>
      </w:r>
    </w:p>
    <w:p>
      <w:pPr>
        <w:pStyle w:val="ListParagraph"/>
        <w:numPr>
          <w:ilvl w:val="0"/>
          <w:numId w:val="11"/>
        </w:numPr>
        <w:tabs>
          <w:tab w:val="clear" w:pos="708"/>
          <w:tab w:val="left" w:pos="567"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b/>
          <w:sz w:val="24"/>
          <w:szCs w:val="24"/>
        </w:rPr>
        <w:t>Wykonawca</w:t>
      </w:r>
      <w:r>
        <w:rPr>
          <w:rFonts w:cs="Times New Roman" w:ascii="Times New Roman" w:hAnsi="Times New Roman"/>
          <w:sz w:val="24"/>
          <w:szCs w:val="24"/>
        </w:rPr>
        <w:t xml:space="preserve"> zobowiązuje się do:</w:t>
      </w:r>
    </w:p>
    <w:p>
      <w:pPr>
        <w:pStyle w:val="ListParagraph"/>
        <w:numPr>
          <w:ilvl w:val="0"/>
          <w:numId w:val="12"/>
        </w:numPr>
        <w:tabs>
          <w:tab w:val="clear" w:pos="708"/>
          <w:tab w:val="left" w:pos="0"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sz w:val="24"/>
          <w:szCs w:val="24"/>
        </w:rPr>
        <w:t xml:space="preserve">sprzedaży energii elektrycznej do punktu poboru energii elektrycznej </w:t>
      </w:r>
      <w:r>
        <w:rPr>
          <w:rFonts w:cs="Times New Roman" w:ascii="Times New Roman" w:hAnsi="Times New Roman"/>
          <w:b/>
          <w:sz w:val="24"/>
          <w:szCs w:val="24"/>
        </w:rPr>
        <w:t>Zamawiającego,</w:t>
      </w:r>
      <w:r>
        <w:rPr>
          <w:rFonts w:cs="Times New Roman" w:ascii="Times New Roman" w:hAnsi="Times New Roman"/>
          <w:sz w:val="24"/>
          <w:szCs w:val="24"/>
        </w:rPr>
        <w:t xml:space="preserve"> wymienionego w załączniku nr 1 Formularza ofertowego (Formularza cenowego);</w:t>
      </w:r>
    </w:p>
    <w:p>
      <w:pPr>
        <w:pStyle w:val="ListParagraph"/>
        <w:numPr>
          <w:ilvl w:val="0"/>
          <w:numId w:val="12"/>
        </w:numPr>
        <w:tabs>
          <w:tab w:val="clear" w:pos="708"/>
          <w:tab w:val="left" w:pos="0" w:leader="none"/>
        </w:tabs>
        <w:overflowPunct w:val="true"/>
        <w:spacing w:lineRule="auto" w:line="360"/>
        <w:ind w:left="284" w:right="0" w:hanging="284"/>
        <w:jc w:val="left"/>
        <w:rPr>
          <w:rFonts w:ascii="Times New Roman" w:hAnsi="Times New Roman" w:cs="Times New Roman"/>
          <w:bCs/>
          <w:sz w:val="24"/>
          <w:szCs w:val="24"/>
        </w:rPr>
      </w:pPr>
      <w:r>
        <w:rPr>
          <w:rFonts w:cs="Times New Roman" w:ascii="Times New Roman" w:hAnsi="Times New Roman"/>
          <w:sz w:val="24"/>
          <w:szCs w:val="24"/>
        </w:rPr>
        <w:t>zakupu energii elektrycznej wytworzonej w instalacji Zamawiającego.</w:t>
      </w:r>
    </w:p>
    <w:p>
      <w:pPr>
        <w:pStyle w:val="ListParagraph"/>
        <w:numPr>
          <w:ilvl w:val="0"/>
          <w:numId w:val="11"/>
        </w:numPr>
        <w:tabs>
          <w:tab w:val="clear" w:pos="708"/>
          <w:tab w:val="left" w:pos="567" w:leader="none"/>
        </w:tabs>
        <w:overflowPunct w:val="true"/>
        <w:spacing w:lineRule="auto" w:line="360"/>
        <w:ind w:left="284" w:right="0" w:hanging="284"/>
        <w:jc w:val="left"/>
        <w:rPr>
          <w:rFonts w:ascii="Times New Roman" w:hAnsi="Times New Roman" w:cs="Times New Roman"/>
          <w:bCs/>
          <w:sz w:val="24"/>
          <w:szCs w:val="24"/>
        </w:rPr>
      </w:pPr>
      <w:r>
        <w:rPr>
          <w:rFonts w:cs="Times New Roman" w:ascii="Times New Roman" w:hAnsi="Times New Roman"/>
          <w:bCs/>
          <w:sz w:val="24"/>
          <w:szCs w:val="24"/>
        </w:rPr>
        <w:t xml:space="preserve">Prognozowane zużycie energii elektrycznej w okresie realizacji niniejszej umowy do  punktu poboru energii elektrycznej opisanego w załączniku nr 1 do Formularza ofertowego (Formularz cenowy) szacuje się na poziomie 57 950 kWh. </w:t>
      </w:r>
    </w:p>
    <w:p>
      <w:pPr>
        <w:pStyle w:val="ListParagraph"/>
        <w:numPr>
          <w:ilvl w:val="0"/>
          <w:numId w:val="11"/>
        </w:numPr>
        <w:tabs>
          <w:tab w:val="clear" w:pos="708"/>
          <w:tab w:val="left" w:pos="567" w:leader="none"/>
        </w:tabs>
        <w:overflowPunct w:val="true"/>
        <w:spacing w:lineRule="auto" w:line="360"/>
        <w:ind w:left="284" w:right="0" w:hanging="284"/>
        <w:jc w:val="left"/>
        <w:rPr>
          <w:rFonts w:ascii="Times New Roman" w:hAnsi="Times New Roman" w:cs="Times New Roman"/>
          <w:b/>
          <w:b/>
          <w:sz w:val="24"/>
          <w:szCs w:val="24"/>
        </w:rPr>
      </w:pPr>
      <w:r>
        <w:rPr>
          <w:rFonts w:cs="Times New Roman" w:ascii="Times New Roman" w:hAnsi="Times New Roman"/>
          <w:bCs/>
          <w:sz w:val="24"/>
          <w:szCs w:val="24"/>
        </w:rPr>
        <w:t xml:space="preserve">Prognozowana ilość kupowanej energii elektrycznej oszacowana została na podstawie dotychczasowego zużycia energii elektrycznej. Rzeczywista ilość zużywanej energii </w:t>
        <w:br/>
        <w:t xml:space="preserve">w trakcie wykonywania Umowy może ulec zwiększeniu lub zmniejszeniu. Realizacja prawa polegającego na większym lub mniejszym zużyciu energii elektrycznej odbywała się będzie w sposób automatyczny, przez prowadzenie rozliczeń przez Wykonawcę na podstawie wskazań urządzeń pomiarowo-rozliczeniowych. Różnica w rzeczywistym zużyciu energii elektrycznej w stosunku do szacowanego zużycia nie będzie skutkowała dodatkowymi kosztami dla Zamawiającego, poza wynikającymi ze zużytej ilości energii i ustalonej w umowie ceny. Wykonawcy nie będzie przysługiwało jakiekolwiek roszczenie z tytułu niepobrania przez Zamawiającego przewidywanej ilości energii. </w:t>
      </w:r>
    </w:p>
    <w:p>
      <w:pPr>
        <w:pStyle w:val="ListParagraph"/>
        <w:numPr>
          <w:ilvl w:val="0"/>
          <w:numId w:val="11"/>
        </w:numPr>
        <w:tabs>
          <w:tab w:val="clear" w:pos="708"/>
          <w:tab w:val="left" w:pos="567"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b/>
          <w:sz w:val="24"/>
          <w:szCs w:val="24"/>
        </w:rPr>
        <w:t xml:space="preserve">Wykonawca </w:t>
      </w:r>
      <w:r>
        <w:rPr>
          <w:rFonts w:cs="Times New Roman" w:ascii="Times New Roman" w:hAnsi="Times New Roman"/>
          <w:sz w:val="24"/>
          <w:szCs w:val="24"/>
        </w:rPr>
        <w:t xml:space="preserve">zobowiązuje się we własnym zakresie, w granicach i na podstawie warunków </w:t>
      </w:r>
      <w:r>
        <w:rPr>
          <w:rFonts w:cs="Times New Roman" w:ascii="Times New Roman" w:hAnsi="Times New Roman"/>
          <w:i/>
          <w:sz w:val="24"/>
          <w:szCs w:val="24"/>
        </w:rPr>
        <w:t>Instrukcji Ruchu i Eksploatacji Sieci Dystrybucyjnej</w:t>
      </w:r>
      <w:r>
        <w:rPr>
          <w:rFonts w:cs="Times New Roman" w:ascii="Times New Roman" w:hAnsi="Times New Roman"/>
          <w:sz w:val="24"/>
          <w:szCs w:val="24"/>
        </w:rPr>
        <w:t xml:space="preserve"> lokalnego </w:t>
      </w:r>
      <w:r>
        <w:rPr>
          <w:rFonts w:cs="Times New Roman" w:ascii="Times New Roman" w:hAnsi="Times New Roman"/>
          <w:b/>
          <w:sz w:val="24"/>
          <w:szCs w:val="24"/>
        </w:rPr>
        <w:t>OSD</w:t>
      </w:r>
      <w:r>
        <w:rPr>
          <w:rFonts w:cs="Times New Roman" w:ascii="Times New Roman" w:hAnsi="Times New Roman"/>
          <w:sz w:val="24"/>
          <w:szCs w:val="24"/>
        </w:rPr>
        <w:t xml:space="preserve"> bądź umowy łączącej go z </w:t>
      </w:r>
      <w:r>
        <w:rPr>
          <w:rFonts w:cs="Times New Roman" w:ascii="Times New Roman" w:hAnsi="Times New Roman"/>
          <w:b/>
          <w:sz w:val="24"/>
          <w:szCs w:val="24"/>
        </w:rPr>
        <w:t>OSD</w:t>
      </w:r>
      <w:r>
        <w:rPr>
          <w:rFonts w:cs="Times New Roman" w:ascii="Times New Roman" w:hAnsi="Times New Roman"/>
          <w:sz w:val="24"/>
          <w:szCs w:val="24"/>
        </w:rPr>
        <w:t xml:space="preserve"> (GUD), terminowo pozyskać dane pomiarowe od </w:t>
      </w:r>
      <w:r>
        <w:rPr>
          <w:rFonts w:cs="Times New Roman" w:ascii="Times New Roman" w:hAnsi="Times New Roman"/>
          <w:b/>
          <w:sz w:val="24"/>
          <w:szCs w:val="24"/>
        </w:rPr>
        <w:t>OSD</w:t>
      </w:r>
      <w:r>
        <w:rPr>
          <w:rFonts w:cs="Times New Roman" w:ascii="Times New Roman" w:hAnsi="Times New Roman"/>
          <w:sz w:val="24"/>
          <w:szCs w:val="24"/>
        </w:rPr>
        <w:t>.</w:t>
      </w:r>
    </w:p>
    <w:p>
      <w:pPr>
        <w:pStyle w:val="ListParagraph"/>
        <w:numPr>
          <w:ilvl w:val="0"/>
          <w:numId w:val="11"/>
        </w:numPr>
        <w:tabs>
          <w:tab w:val="clear" w:pos="708"/>
          <w:tab w:val="left" w:pos="567"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sz w:val="24"/>
          <w:szCs w:val="24"/>
        </w:rPr>
        <w:t>Ponadto,</w:t>
      </w:r>
      <w:r>
        <w:rPr>
          <w:rFonts w:cs="Times New Roman" w:ascii="Times New Roman" w:hAnsi="Times New Roman"/>
          <w:b/>
          <w:sz w:val="24"/>
          <w:szCs w:val="24"/>
        </w:rPr>
        <w:t xml:space="preserve"> Wykonawca</w:t>
      </w:r>
      <w:r>
        <w:rPr>
          <w:rFonts w:cs="Times New Roman" w:ascii="Times New Roman" w:hAnsi="Times New Roman"/>
          <w:sz w:val="24"/>
          <w:szCs w:val="24"/>
        </w:rPr>
        <w:t xml:space="preserve"> zobowiązuje się do:</w:t>
      </w:r>
    </w:p>
    <w:p>
      <w:pPr>
        <w:pStyle w:val="ListParagraph"/>
        <w:numPr>
          <w:ilvl w:val="0"/>
          <w:numId w:val="4"/>
        </w:numPr>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sprzedaży energii elektrycznej z zachowaniem obowiązujących standardów jakościowych wskazanych w § 4 niniejszej Umowy;</w:t>
      </w:r>
    </w:p>
    <w:p>
      <w:pPr>
        <w:pStyle w:val="ListParagraph"/>
        <w:numPr>
          <w:ilvl w:val="0"/>
          <w:numId w:val="4"/>
        </w:numPr>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prowadzenia ewidencji wpłat należności, zapewniającej poprawność rozliczeń;</w:t>
      </w:r>
    </w:p>
    <w:p>
      <w:pPr>
        <w:pStyle w:val="ListParagraph"/>
        <w:numPr>
          <w:ilvl w:val="0"/>
          <w:numId w:val="4"/>
        </w:numPr>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zakupu energii elektrycznej wytworzonej w instalacji Zamawiającego, </w:t>
      </w:r>
    </w:p>
    <w:p>
      <w:pPr>
        <w:pStyle w:val="ListParagraph"/>
        <w:numPr>
          <w:ilvl w:val="0"/>
          <w:numId w:val="4"/>
        </w:numPr>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stosowania zasad rozliczeń określonych w §</w:t>
      </w:r>
      <w:r>
        <w:rPr>
          <w:rFonts w:cs="Times New Roman" w:ascii="Times New Roman" w:hAnsi="Times New Roman"/>
          <w:color w:val="FF0000"/>
          <w:sz w:val="24"/>
          <w:szCs w:val="24"/>
        </w:rPr>
        <w:t xml:space="preserve"> </w:t>
      </w:r>
      <w:r>
        <w:rPr>
          <w:rFonts w:cs="Times New Roman" w:ascii="Times New Roman" w:hAnsi="Times New Roman"/>
          <w:sz w:val="24"/>
          <w:szCs w:val="24"/>
        </w:rPr>
        <w:t>5 ust. 6 niniejszej Umowy.</w:t>
      </w:r>
    </w:p>
    <w:p>
      <w:pPr>
        <w:pStyle w:val="ListParagraph"/>
        <w:numPr>
          <w:ilvl w:val="0"/>
          <w:numId w:val="11"/>
        </w:numPr>
        <w:tabs>
          <w:tab w:val="clear" w:pos="708"/>
          <w:tab w:val="left" w:pos="567"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b/>
          <w:sz w:val="24"/>
          <w:szCs w:val="24"/>
        </w:rPr>
        <w:t>Zamawiający</w:t>
      </w:r>
      <w:r>
        <w:rPr>
          <w:rFonts w:cs="Times New Roman" w:ascii="Times New Roman" w:hAnsi="Times New Roman"/>
          <w:sz w:val="24"/>
          <w:szCs w:val="24"/>
        </w:rPr>
        <w:t xml:space="preserve"> zobowiązuje się do:</w:t>
      </w:r>
    </w:p>
    <w:p>
      <w:pPr>
        <w:pStyle w:val="ListParagraph"/>
        <w:numPr>
          <w:ilvl w:val="0"/>
          <w:numId w:val="3"/>
        </w:numPr>
        <w:overflowPunct w:val="true"/>
        <w:spacing w:lineRule="auto" w:line="360"/>
        <w:ind w:left="567" w:right="0" w:hanging="283"/>
        <w:jc w:val="left"/>
        <w:rPr>
          <w:rFonts w:ascii="Times New Roman" w:hAnsi="Times New Roman" w:cs="Times New Roman"/>
          <w:sz w:val="24"/>
          <w:szCs w:val="24"/>
        </w:rPr>
      </w:pPr>
      <w:r>
        <w:rPr>
          <w:rFonts w:cs="Times New Roman" w:ascii="Times New Roman" w:hAnsi="Times New Roman"/>
          <w:sz w:val="24"/>
          <w:szCs w:val="24"/>
        </w:rPr>
        <w:t>pobierania energii elektrycznej zgodnie z obowiązującymi przepisami i warunkami Umowy;</w:t>
      </w:r>
    </w:p>
    <w:p>
      <w:pPr>
        <w:pStyle w:val="ListParagraph"/>
        <w:numPr>
          <w:ilvl w:val="0"/>
          <w:numId w:val="3"/>
        </w:numPr>
        <w:overflowPunct w:val="true"/>
        <w:spacing w:lineRule="auto" w:line="360"/>
        <w:ind w:left="567" w:right="0" w:hanging="283"/>
        <w:jc w:val="left"/>
        <w:rPr>
          <w:rFonts w:ascii="Times New Roman" w:hAnsi="Times New Roman" w:cs="Times New Roman"/>
          <w:sz w:val="24"/>
          <w:szCs w:val="24"/>
        </w:rPr>
      </w:pPr>
      <w:r>
        <w:rPr>
          <w:rFonts w:cs="Times New Roman" w:ascii="Times New Roman" w:hAnsi="Times New Roman"/>
          <w:sz w:val="24"/>
          <w:szCs w:val="24"/>
        </w:rPr>
        <w:t>terminowego regulowania należności za energię elektryczną;</w:t>
      </w:r>
    </w:p>
    <w:p>
      <w:pPr>
        <w:pStyle w:val="ListParagraph"/>
        <w:numPr>
          <w:ilvl w:val="0"/>
          <w:numId w:val="3"/>
        </w:numPr>
        <w:overflowPunct w:val="true"/>
        <w:spacing w:lineRule="auto" w:line="360"/>
        <w:ind w:left="567" w:right="0" w:hanging="283"/>
        <w:jc w:val="left"/>
        <w:rPr>
          <w:rFonts w:ascii="Times New Roman" w:hAnsi="Times New Roman" w:cs="Times New Roman"/>
          <w:b/>
          <w:b/>
          <w:sz w:val="24"/>
          <w:szCs w:val="24"/>
        </w:rPr>
      </w:pPr>
      <w:r>
        <w:rPr>
          <w:rFonts w:cs="Times New Roman" w:ascii="Times New Roman" w:hAnsi="Times New Roman"/>
          <w:sz w:val="24"/>
          <w:szCs w:val="24"/>
        </w:rPr>
        <w:t xml:space="preserve">przekazywania </w:t>
      </w:r>
      <w:r>
        <w:rPr>
          <w:rFonts w:cs="Times New Roman" w:ascii="Times New Roman" w:hAnsi="Times New Roman"/>
          <w:b/>
          <w:sz w:val="24"/>
          <w:szCs w:val="24"/>
        </w:rPr>
        <w:t>Wykonawcy</w:t>
      </w:r>
      <w:r>
        <w:rPr>
          <w:rFonts w:cs="Times New Roman" w:ascii="Times New Roman" w:hAnsi="Times New Roman"/>
          <w:sz w:val="24"/>
          <w:szCs w:val="24"/>
        </w:rPr>
        <w:t xml:space="preserve"> istotnych informacji dotyczących realizacji Umowy,                                          w szczególności informacji o zmianach w umowie dystrybucyjnej mających wpływ na realizację Umowy, zmianie licznika w układzie pomiarowo-rozliczeniowym wraz </w:t>
        <w:br/>
        <w:t>z podaniem jego numeru - nr PPE, grupy taryfowej.</w:t>
      </w:r>
    </w:p>
    <w:p>
      <w:pPr>
        <w:pStyle w:val="ListParagraph"/>
        <w:numPr>
          <w:ilvl w:val="0"/>
          <w:numId w:val="11"/>
        </w:numPr>
        <w:tabs>
          <w:tab w:val="clear" w:pos="708"/>
          <w:tab w:val="left" w:pos="567" w:leader="none"/>
        </w:tabs>
        <w:spacing w:lineRule="auto" w:line="360"/>
        <w:ind w:left="284" w:right="0" w:hanging="284"/>
        <w:jc w:val="left"/>
        <w:rPr>
          <w:rFonts w:ascii="Times New Roman" w:hAnsi="Times New Roman" w:cs="Times New Roman"/>
          <w:b/>
          <w:b/>
          <w:sz w:val="24"/>
          <w:szCs w:val="24"/>
        </w:rPr>
      </w:pPr>
      <w:r>
        <w:rPr>
          <w:rFonts w:cs="Times New Roman" w:ascii="Times New Roman" w:hAnsi="Times New Roman"/>
          <w:b/>
          <w:sz w:val="24"/>
          <w:szCs w:val="24"/>
        </w:rPr>
        <w:t>Zamawiający</w:t>
      </w:r>
      <w:r>
        <w:rPr>
          <w:rFonts w:cs="Times New Roman" w:ascii="Times New Roman" w:hAnsi="Times New Roman"/>
          <w:sz w:val="24"/>
          <w:szCs w:val="24"/>
        </w:rPr>
        <w:t xml:space="preserve"> oświadcza, iż zapewni utrzymanie umowy o świadczenie usług dystrybucji </w:t>
        <w:br/>
        <w:t xml:space="preserve">w mocy przez cały okres trwania </w:t>
      </w:r>
      <w:r>
        <w:rPr>
          <w:rFonts w:cs="Times New Roman" w:ascii="Times New Roman" w:hAnsi="Times New Roman"/>
          <w:b/>
          <w:sz w:val="24"/>
          <w:szCs w:val="24"/>
        </w:rPr>
        <w:t>Umowy Sprzedaży energii elektrycznej</w:t>
      </w:r>
      <w:r>
        <w:rPr>
          <w:rFonts w:cs="Times New Roman" w:ascii="Times New Roman" w:hAnsi="Times New Roman"/>
          <w:sz w:val="24"/>
          <w:szCs w:val="24"/>
        </w:rPr>
        <w:t xml:space="preserve">.  W przypadku rozwiązania umowy o świadczenie usług dystrybucji zawartej pomiędzy </w:t>
      </w:r>
      <w:r>
        <w:rPr>
          <w:rFonts w:cs="Times New Roman" w:ascii="Times New Roman" w:hAnsi="Times New Roman"/>
          <w:b/>
          <w:sz w:val="24"/>
          <w:szCs w:val="24"/>
        </w:rPr>
        <w:t xml:space="preserve">Zamawiającym </w:t>
        <w:br/>
      </w:r>
      <w:r>
        <w:rPr>
          <w:rFonts w:cs="Times New Roman" w:ascii="Times New Roman" w:hAnsi="Times New Roman"/>
          <w:sz w:val="24"/>
          <w:szCs w:val="24"/>
        </w:rPr>
        <w:t xml:space="preserve">a </w:t>
      </w:r>
      <w:r>
        <w:rPr>
          <w:rFonts w:cs="Times New Roman" w:ascii="Times New Roman" w:hAnsi="Times New Roman"/>
          <w:b/>
          <w:sz w:val="24"/>
          <w:szCs w:val="24"/>
        </w:rPr>
        <w:t>OSD</w:t>
      </w:r>
      <w:r>
        <w:rPr>
          <w:rFonts w:cs="Times New Roman" w:ascii="Times New Roman" w:hAnsi="Times New Roman"/>
          <w:sz w:val="24"/>
          <w:szCs w:val="24"/>
        </w:rPr>
        <w:t xml:space="preserve"> lub zamiarze jej rozwiązania, </w:t>
      </w:r>
      <w:r>
        <w:rPr>
          <w:rFonts w:cs="Times New Roman" w:ascii="Times New Roman" w:hAnsi="Times New Roman"/>
          <w:b/>
          <w:sz w:val="24"/>
          <w:szCs w:val="24"/>
        </w:rPr>
        <w:t>Zamawiający</w:t>
      </w:r>
      <w:r>
        <w:rPr>
          <w:rFonts w:cs="Times New Roman" w:ascii="Times New Roman" w:hAnsi="Times New Roman"/>
          <w:sz w:val="24"/>
          <w:szCs w:val="24"/>
        </w:rPr>
        <w:t xml:space="preserve"> zobowiązany jest niezwłocznie powiadomić </w:t>
      </w:r>
      <w:r>
        <w:rPr>
          <w:rFonts w:cs="Times New Roman" w:ascii="Times New Roman" w:hAnsi="Times New Roman"/>
          <w:b/>
          <w:sz w:val="24"/>
          <w:szCs w:val="24"/>
        </w:rPr>
        <w:t>Wykonawcę</w:t>
      </w:r>
      <w:r>
        <w:rPr>
          <w:rFonts w:cs="Times New Roman" w:ascii="Times New Roman" w:hAnsi="Times New Roman"/>
          <w:sz w:val="24"/>
          <w:szCs w:val="24"/>
        </w:rPr>
        <w:t xml:space="preserve"> o tym fakcie.</w:t>
      </w:r>
    </w:p>
    <w:p>
      <w:pPr>
        <w:pStyle w:val="ListParagraph"/>
        <w:numPr>
          <w:ilvl w:val="0"/>
          <w:numId w:val="11"/>
        </w:numPr>
        <w:tabs>
          <w:tab w:val="clear" w:pos="708"/>
          <w:tab w:val="left" w:pos="567" w:leader="none"/>
        </w:tabs>
        <w:spacing w:lineRule="auto" w:line="360"/>
        <w:ind w:left="284" w:right="0" w:hanging="284"/>
        <w:jc w:val="left"/>
        <w:rPr>
          <w:rFonts w:ascii="Times New Roman" w:hAnsi="Times New Roman" w:cs="Times New Roman"/>
          <w:b/>
          <w:b/>
          <w:bCs/>
          <w:sz w:val="24"/>
          <w:szCs w:val="24"/>
        </w:rPr>
      </w:pPr>
      <w:r>
        <w:rPr>
          <w:rFonts w:cs="Times New Roman" w:ascii="Times New Roman" w:hAnsi="Times New Roman"/>
          <w:b/>
          <w:sz w:val="24"/>
          <w:szCs w:val="24"/>
        </w:rPr>
        <w:t>Strony</w:t>
      </w:r>
      <w:r>
        <w:rPr>
          <w:rFonts w:cs="Times New Roman" w:ascii="Times New Roman" w:hAnsi="Times New Roman"/>
          <w:sz w:val="24"/>
          <w:szCs w:val="24"/>
        </w:rPr>
        <w:t xml:space="preserve"> zobowiązują się do zapewnienia wzajemnego dostępu do danych oraz wglądu do materiałów stanowiących podstawę do rozliczeń za dostarczoną energię.</w:t>
      </w:r>
    </w:p>
    <w:p>
      <w:pPr>
        <w:pStyle w:val="ListParagraph"/>
        <w:numPr>
          <w:ilvl w:val="0"/>
          <w:numId w:val="11"/>
        </w:numPr>
        <w:tabs>
          <w:tab w:val="clear" w:pos="708"/>
          <w:tab w:val="left" w:pos="567" w:leader="none"/>
        </w:tabs>
        <w:spacing w:lineRule="auto" w:line="360"/>
        <w:ind w:left="284" w:right="0" w:hanging="284"/>
        <w:jc w:val="left"/>
        <w:rPr>
          <w:rFonts w:ascii="Times New Roman" w:hAnsi="Times New Roman" w:cs="Times New Roman"/>
          <w:b/>
          <w:b/>
          <w:sz w:val="24"/>
          <w:szCs w:val="24"/>
        </w:rPr>
      </w:pPr>
      <w:r>
        <w:rPr>
          <w:rFonts w:cs="Times New Roman" w:ascii="Times New Roman" w:hAnsi="Times New Roman"/>
          <w:b/>
          <w:bCs/>
          <w:sz w:val="24"/>
          <w:szCs w:val="24"/>
        </w:rPr>
        <w:t>Strony</w:t>
      </w:r>
      <w:r>
        <w:rPr>
          <w:rFonts w:cs="Times New Roman" w:ascii="Times New Roman" w:hAnsi="Times New Roman"/>
          <w:sz w:val="24"/>
          <w:szCs w:val="24"/>
        </w:rPr>
        <w:t xml:space="preserve"> ustalają, że w przypadku wprowadzenia, w trybie zgodnym z prawem, ograniczeń </w:t>
        <w:br/>
        <w:t xml:space="preserve">w dostarczaniu i poborze energii, </w:t>
      </w:r>
      <w:r>
        <w:rPr>
          <w:rFonts w:cs="Times New Roman" w:ascii="Times New Roman" w:hAnsi="Times New Roman"/>
          <w:b/>
          <w:sz w:val="24"/>
          <w:szCs w:val="24"/>
        </w:rPr>
        <w:t>Zamawiający</w:t>
      </w:r>
      <w:r>
        <w:rPr>
          <w:rFonts w:cs="Times New Roman" w:ascii="Times New Roman" w:hAnsi="Times New Roman"/>
          <w:sz w:val="24"/>
          <w:szCs w:val="24"/>
        </w:rPr>
        <w:t xml:space="preserve"> jest obowiązany do dostosowania dobowego poboru energii do planu ograniczeń stosownie do komunikatów radiowych lub indywidualnego zawiadomienia. Za ewentualne wynikłe z tego tytułu szkody </w:t>
      </w:r>
      <w:r>
        <w:rPr>
          <w:rFonts w:cs="Times New Roman" w:ascii="Times New Roman" w:hAnsi="Times New Roman"/>
          <w:b/>
          <w:sz w:val="24"/>
          <w:szCs w:val="24"/>
        </w:rPr>
        <w:t>Wykonawca</w:t>
      </w:r>
      <w:r>
        <w:rPr>
          <w:rFonts w:cs="Times New Roman" w:ascii="Times New Roman" w:hAnsi="Times New Roman"/>
          <w:sz w:val="24"/>
          <w:szCs w:val="24"/>
        </w:rPr>
        <w:t xml:space="preserve"> nie ponosi odpowiedzialności.</w:t>
      </w:r>
    </w:p>
    <w:p>
      <w:pPr>
        <w:pStyle w:val="Normal"/>
        <w:spacing w:lineRule="auto" w:line="360"/>
        <w:jc w:val="center"/>
        <w:rPr>
          <w:rFonts w:ascii="Times New Roman" w:hAnsi="Times New Roman" w:cs="Times New Roman"/>
          <w:sz w:val="24"/>
          <w:szCs w:val="24"/>
        </w:rPr>
      </w:pPr>
      <w:r>
        <w:rPr>
          <w:rFonts w:cs="Times New Roman" w:ascii="Times New Roman" w:hAnsi="Times New Roman"/>
          <w:b/>
          <w:sz w:val="24"/>
          <w:szCs w:val="24"/>
        </w:rPr>
        <w:t>§ 3</w:t>
      </w:r>
    </w:p>
    <w:p>
      <w:pPr>
        <w:pStyle w:val="ListParagraph"/>
        <w:tabs>
          <w:tab w:val="clear" w:pos="708"/>
          <w:tab w:val="left" w:pos="567" w:leader="none"/>
          <w:tab w:val="left" w:pos="1276"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1.Zgodnie z art. 3 pkt 40 Prawa energetycznego Bilansowanie handlowe jest to zgłaszanie operatorowi systemu przesyłowego elektroenergetycznego przez podmiot odpowiedzialny za bilansowanie handlowe, do realizacji umów sprzedaży energii elektrycznej, zawartych przez użytkowników systemu i prowadzenie z nimi rozliczeń różnicy rzeczywistej ilości dostarczonej albo pobranej energii elektrycznej i wielkości określonych w tych umowach dla każdego okresu rozliczeniowego.</w:t>
      </w:r>
    </w:p>
    <w:p>
      <w:pPr>
        <w:pStyle w:val="ListParagraph"/>
        <w:tabs>
          <w:tab w:val="clear" w:pos="708"/>
          <w:tab w:val="left" w:pos="567" w:leader="none"/>
          <w:tab w:val="left" w:pos="1276"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 xml:space="preserve">2. W ramach niniejszej Umowy Wykonawca jest odpowiedzialny, bez dodatkowego wynagrodzenia, za bilansowanie handlowe w zakresie wytwarzanej energii oraz sprzedawanej przez Zamawiającego energii elektrycznej wytworzonej w instalacji Zamawiającego i wprowadzonej do sieci elektroenergetycznej OSD z przeznaczeniem do dalszej odsprzedaży. </w:t>
      </w:r>
    </w:p>
    <w:p>
      <w:pPr>
        <w:pStyle w:val="ListParagraph"/>
        <w:tabs>
          <w:tab w:val="clear" w:pos="708"/>
          <w:tab w:val="left" w:pos="567" w:leader="none"/>
          <w:tab w:val="left" w:pos="1276" w:leader="none"/>
        </w:tabs>
        <w:overflowPunct w:val="true"/>
        <w:spacing w:lineRule="auto" w:line="360"/>
        <w:ind w:left="0" w:right="0" w:hanging="0"/>
        <w:jc w:val="left"/>
        <w:rPr>
          <w:rFonts w:ascii="Times New Roman" w:hAnsi="Times New Roman" w:cs="Times New Roman"/>
          <w:b w:val="false"/>
          <w:b w:val="false"/>
          <w:bCs w:val="false"/>
          <w:sz w:val="24"/>
          <w:szCs w:val="24"/>
        </w:rPr>
      </w:pPr>
      <w:r>
        <w:rPr>
          <w:rFonts w:cs="Times New Roman" w:ascii="Times New Roman" w:hAnsi="Times New Roman"/>
          <w:sz w:val="24"/>
          <w:szCs w:val="24"/>
        </w:rPr>
        <w:t xml:space="preserve">3. Wykonawca ponosi wszelkie koszty związane z obowiązkiem bilansowania handlowego, </w:t>
        <w:br/>
        <w:t xml:space="preserve">w tym w szczególności związanych z bilansowaniem handlowym dla energii wytwarzanej </w:t>
        <w:br/>
        <w:t xml:space="preserve">i oddawanej do sieci oraz przygotowaniem i zgłaszaniem grafików wytwarzanej i oddawanej do sieci energii elektrycznej m.in. do OSD. </w:t>
      </w:r>
    </w:p>
    <w:p>
      <w:pPr>
        <w:pStyle w:val="ListParagraph"/>
        <w:tabs>
          <w:tab w:val="clear" w:pos="708"/>
          <w:tab w:val="left" w:pos="567" w:leader="none"/>
          <w:tab w:val="left" w:pos="1276" w:leader="none"/>
        </w:tabs>
        <w:overflowPunct w:val="true"/>
        <w:spacing w:lineRule="auto" w:line="360"/>
        <w:ind w:left="0" w:right="0" w:hanging="0"/>
        <w:jc w:val="left"/>
        <w:rPr>
          <w:rFonts w:ascii="Times New Roman" w:hAnsi="Times New Roman" w:cs="Times New Roman"/>
          <w:b/>
          <w:b/>
          <w:sz w:val="24"/>
          <w:szCs w:val="24"/>
        </w:rPr>
      </w:pPr>
      <w:r>
        <w:rPr>
          <w:rFonts w:cs="Times New Roman" w:ascii="Times New Roman" w:hAnsi="Times New Roman"/>
          <w:b w:val="false"/>
          <w:bCs w:val="false"/>
          <w:sz w:val="24"/>
          <w:szCs w:val="24"/>
        </w:rPr>
        <w:t xml:space="preserve">4. </w:t>
      </w:r>
      <w:r>
        <w:rPr>
          <w:rFonts w:cs="Times New Roman" w:ascii="Times New Roman" w:hAnsi="Times New Roman"/>
          <w:b/>
          <w:sz w:val="24"/>
          <w:szCs w:val="24"/>
        </w:rPr>
        <w:t xml:space="preserve">Zamawiający </w:t>
      </w:r>
      <w:r>
        <w:rPr>
          <w:rFonts w:cs="Times New Roman" w:ascii="Times New Roman" w:hAnsi="Times New Roman"/>
          <w:sz w:val="24"/>
          <w:szCs w:val="24"/>
        </w:rPr>
        <w:t xml:space="preserve">oświadcza, iż wszystkie prawa i obowiązki związane z bilansowaniem handlowym wynikające z niniejszej Umowy, w tym opracowywanie i zgłaszanie grafików handlowych do </w:t>
      </w:r>
      <w:r>
        <w:rPr>
          <w:rFonts w:cs="Times New Roman" w:ascii="Times New Roman" w:hAnsi="Times New Roman"/>
          <w:b/>
          <w:sz w:val="24"/>
          <w:szCs w:val="24"/>
        </w:rPr>
        <w:t>OSD</w:t>
      </w:r>
      <w:r>
        <w:rPr>
          <w:rFonts w:cs="Times New Roman" w:ascii="Times New Roman" w:hAnsi="Times New Roman"/>
          <w:sz w:val="24"/>
          <w:szCs w:val="24"/>
        </w:rPr>
        <w:t xml:space="preserve">, przysługują </w:t>
      </w:r>
      <w:r>
        <w:rPr>
          <w:rFonts w:cs="Times New Roman" w:ascii="Times New Roman" w:hAnsi="Times New Roman"/>
          <w:b/>
          <w:sz w:val="24"/>
          <w:szCs w:val="24"/>
        </w:rPr>
        <w:t>Wykonawcy.</w:t>
      </w:r>
    </w:p>
    <w:p>
      <w:pPr>
        <w:pStyle w:val="Normal"/>
        <w:spacing w:lineRule="auto" w:line="360"/>
        <w:jc w:val="center"/>
        <w:rPr>
          <w:rFonts w:ascii="Times New Roman" w:hAnsi="Times New Roman" w:cs="Times New Roman"/>
          <w:b w:val="false"/>
          <w:b w:val="false"/>
          <w:bCs w:val="false"/>
          <w:sz w:val="24"/>
          <w:szCs w:val="24"/>
        </w:rPr>
      </w:pPr>
      <w:r>
        <w:rPr>
          <w:rFonts w:cs="Times New Roman" w:ascii="Times New Roman" w:hAnsi="Times New Roman"/>
          <w:b/>
          <w:sz w:val="24"/>
          <w:szCs w:val="24"/>
        </w:rPr>
        <w:t>§ 4</w:t>
      </w:r>
    </w:p>
    <w:p>
      <w:pPr>
        <w:pStyle w:val="ListParagraph"/>
        <w:spacing w:lineRule="auto" w:line="360"/>
        <w:ind w:left="0" w:right="0" w:hanging="0"/>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 xml:space="preserve">1. </w:t>
      </w:r>
      <w:r>
        <w:rPr>
          <w:rFonts w:cs="Times New Roman" w:ascii="Times New Roman" w:hAnsi="Times New Roman"/>
          <w:b/>
          <w:sz w:val="24"/>
          <w:szCs w:val="24"/>
        </w:rPr>
        <w:t xml:space="preserve">Wykonawca </w:t>
      </w:r>
      <w:r>
        <w:rPr>
          <w:rFonts w:cs="Times New Roman" w:ascii="Times New Roman" w:hAnsi="Times New Roman"/>
          <w:sz w:val="24"/>
          <w:szCs w:val="24"/>
        </w:rPr>
        <w:t xml:space="preserve">zobowiązuje się zapewnić </w:t>
      </w:r>
      <w:r>
        <w:rPr>
          <w:rFonts w:cs="Times New Roman" w:ascii="Times New Roman" w:hAnsi="Times New Roman"/>
          <w:b/>
          <w:sz w:val="24"/>
          <w:szCs w:val="24"/>
        </w:rPr>
        <w:t>Zamawiającemu</w:t>
      </w:r>
      <w:r>
        <w:rPr>
          <w:rFonts w:cs="Times New Roman" w:ascii="Times New Roman" w:hAnsi="Times New Roman"/>
          <w:sz w:val="24"/>
          <w:szCs w:val="24"/>
        </w:rPr>
        <w:t xml:space="preserve"> standardy jakościowe obsługi zgodne z obowiązującymi przepisami Prawa energetycznego.</w:t>
      </w:r>
    </w:p>
    <w:p>
      <w:pPr>
        <w:pStyle w:val="ListParagraph"/>
        <w:spacing w:lineRule="auto" w:line="360"/>
        <w:ind w:left="0" w:right="0" w:hanging="0"/>
        <w:jc w:val="left"/>
        <w:rPr>
          <w:rFonts w:ascii="Times New Roman" w:hAnsi="Times New Roman" w:cs="Times New Roman"/>
          <w:sz w:val="24"/>
          <w:szCs w:val="24"/>
        </w:rPr>
      </w:pPr>
      <w:r>
        <w:rPr>
          <w:rFonts w:cs="Times New Roman" w:ascii="Times New Roman" w:hAnsi="Times New Roman"/>
          <w:b w:val="false"/>
          <w:bCs w:val="false"/>
          <w:sz w:val="24"/>
          <w:szCs w:val="24"/>
        </w:rPr>
        <w:t xml:space="preserve">2. </w:t>
      </w:r>
      <w:r>
        <w:rPr>
          <w:rFonts w:cs="Times New Roman" w:ascii="Times New Roman" w:hAnsi="Times New Roman"/>
          <w:b/>
          <w:sz w:val="24"/>
          <w:szCs w:val="24"/>
        </w:rPr>
        <w:t>Wykonawca</w:t>
      </w:r>
      <w:r>
        <w:rPr>
          <w:rFonts w:cs="Times New Roman" w:ascii="Times New Roman" w:hAnsi="Times New Roman"/>
          <w:sz w:val="24"/>
          <w:szCs w:val="24"/>
        </w:rPr>
        <w:t xml:space="preserve"> nie gwarantuje ciągłości sprzedaży energii elektrycznej oraz nie ponosi odpowiedzialności za niedostarczenie energii elektrycznej do obiektów </w:t>
      </w:r>
      <w:r>
        <w:rPr>
          <w:rFonts w:cs="Times New Roman" w:ascii="Times New Roman" w:hAnsi="Times New Roman"/>
          <w:b/>
          <w:sz w:val="24"/>
          <w:szCs w:val="24"/>
        </w:rPr>
        <w:t>Zamawiającego</w:t>
      </w:r>
      <w:r>
        <w:rPr>
          <w:rFonts w:cs="Times New Roman" w:ascii="Times New Roman" w:hAnsi="Times New Roman"/>
          <w:sz w:val="24"/>
          <w:szCs w:val="24"/>
        </w:rPr>
        <w:t xml:space="preserve">                           w przypadku klęsk żywiołowych, awarii w systemie oraz awarii sieciowych, jak również                             z powodu wyłączeń dokonywanych przez </w:t>
      </w:r>
      <w:r>
        <w:rPr>
          <w:rFonts w:cs="Times New Roman" w:ascii="Times New Roman" w:hAnsi="Times New Roman"/>
          <w:b/>
          <w:sz w:val="24"/>
          <w:szCs w:val="24"/>
        </w:rPr>
        <w:t>OSD</w:t>
      </w:r>
      <w:r>
        <w:rPr>
          <w:rFonts w:cs="Times New Roman" w:ascii="Times New Roman" w:hAnsi="Times New Roman"/>
          <w:sz w:val="24"/>
          <w:szCs w:val="24"/>
        </w:rPr>
        <w:t xml:space="preserve">. Szczegółowe zasady dot. niedotrzymania ciągłości dostaw energii elektrycznej regulowane są w umowie o świadczenie usług dystrybucji energii elektrycznej podpisanej z lokalnym </w:t>
      </w:r>
      <w:r>
        <w:rPr>
          <w:rFonts w:cs="Times New Roman" w:ascii="Times New Roman" w:hAnsi="Times New Roman"/>
          <w:b/>
          <w:sz w:val="24"/>
          <w:szCs w:val="24"/>
        </w:rPr>
        <w:t>OSD</w:t>
      </w:r>
      <w:r>
        <w:rPr>
          <w:rFonts w:cs="Times New Roman" w:ascii="Times New Roman" w:hAnsi="Times New Roman"/>
          <w:sz w:val="24"/>
          <w:szCs w:val="24"/>
        </w:rPr>
        <w:t>.</w:t>
      </w:r>
    </w:p>
    <w:p>
      <w:pPr>
        <w:pStyle w:val="ListParagraph"/>
        <w:spacing w:lineRule="auto" w:line="360"/>
        <w:ind w:left="0" w:right="0" w:hanging="0"/>
        <w:jc w:val="left"/>
        <w:rPr>
          <w:rFonts w:ascii="Times New Roman" w:hAnsi="Times New Roman" w:cs="Times New Roman"/>
          <w:b/>
          <w:b/>
          <w:sz w:val="24"/>
          <w:szCs w:val="24"/>
        </w:rPr>
      </w:pPr>
      <w:r>
        <w:rPr>
          <w:rFonts w:cs="Times New Roman" w:ascii="Times New Roman" w:hAnsi="Times New Roman"/>
          <w:sz w:val="24"/>
          <w:szCs w:val="24"/>
        </w:rPr>
        <w:t xml:space="preserve">3. W przypadku niedotrzymania standardów jakościowych obsługi dotyczącej sprzedaży energii elektrycznej </w:t>
      </w:r>
      <w:r>
        <w:rPr>
          <w:rFonts w:cs="Times New Roman" w:ascii="Times New Roman" w:hAnsi="Times New Roman"/>
          <w:b/>
          <w:sz w:val="24"/>
          <w:szCs w:val="24"/>
        </w:rPr>
        <w:t>Wykonawca</w:t>
      </w:r>
      <w:r>
        <w:rPr>
          <w:rFonts w:cs="Times New Roman" w:ascii="Times New Roman" w:hAnsi="Times New Roman"/>
          <w:sz w:val="24"/>
          <w:szCs w:val="24"/>
        </w:rPr>
        <w:t xml:space="preserve"> zobowiązany jest do udzielenia bonifikat – zgodnie </w:t>
        <w:br/>
        <w:t xml:space="preserve">z zasadami określonymi w Rozporządzeniu Ministra Klimatu i Środowiska z dnia </w:t>
        <w:br/>
        <w:t>29 listopada 2022 roku w sprawie sposobu kształtowania i kalkulacji taryf oraz sposobu rozliczeń w obrocie energią elektryczną (Dz. U. z 2022r. poz. 2505 ze zm.) lub w każdym później wydanym akcie prawnym dotyczącym jakościowych standardów obsługi.</w:t>
      </w:r>
    </w:p>
    <w:p>
      <w:pPr>
        <w:pStyle w:val="Normal"/>
        <w:overflowPunct w:val="true"/>
        <w:spacing w:lineRule="auto" w:line="360"/>
        <w:jc w:val="center"/>
        <w:rPr>
          <w:rFonts w:ascii="Times New Roman" w:hAnsi="Times New Roman" w:cs="Times New Roman"/>
          <w:sz w:val="24"/>
          <w:szCs w:val="24"/>
        </w:rPr>
      </w:pPr>
      <w:r>
        <w:rPr>
          <w:rFonts w:cs="Times New Roman" w:ascii="Times New Roman" w:hAnsi="Times New Roman"/>
          <w:b/>
          <w:sz w:val="24"/>
          <w:szCs w:val="24"/>
        </w:rPr>
        <w:t>§ 5</w:t>
      </w:r>
    </w:p>
    <w:p>
      <w:pPr>
        <w:pStyle w:val="ListParagraph"/>
        <w:widowControl w:val="false"/>
        <w:suppressAutoHyphens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 xml:space="preserve">1. </w:t>
      </w:r>
      <w:bookmarkStart w:id="2" w:name="_Hlk82664144"/>
      <w:bookmarkStart w:id="3" w:name="_Hlk44480912"/>
      <w:r>
        <w:rPr>
          <w:rFonts w:cs="Times New Roman" w:ascii="Times New Roman" w:hAnsi="Times New Roman"/>
          <w:sz w:val="24"/>
          <w:szCs w:val="24"/>
        </w:rPr>
        <w:t>Umowa obowiązuje od dnia</w:t>
      </w:r>
      <w:bookmarkEnd w:id="2"/>
      <w:r>
        <w:rPr>
          <w:rFonts w:cs="Times New Roman" w:ascii="Times New Roman" w:hAnsi="Times New Roman"/>
          <w:sz w:val="24"/>
          <w:szCs w:val="24"/>
        </w:rPr>
        <w:t xml:space="preserve"> 01.01.2027 r. do dnia 31.12.2027 r.</w:t>
      </w:r>
    </w:p>
    <w:p>
      <w:pPr>
        <w:pStyle w:val="ListParagraph"/>
        <w:widowControl w:val="false"/>
        <w:suppressAutoHyphens w:val="true"/>
        <w:spacing w:lineRule="auto" w:line="360"/>
        <w:ind w:left="0" w:right="0" w:hanging="0"/>
        <w:jc w:val="left"/>
        <w:rPr>
          <w:rFonts w:ascii="Times New Roman" w:hAnsi="Times New Roman" w:cs="Times New Roman"/>
          <w:sz w:val="24"/>
          <w:szCs w:val="24"/>
        </w:rPr>
      </w:pPr>
      <w:bookmarkEnd w:id="3"/>
      <w:r>
        <w:rPr>
          <w:rFonts w:cs="Times New Roman" w:ascii="Times New Roman" w:hAnsi="Times New Roman"/>
          <w:sz w:val="24"/>
          <w:szCs w:val="24"/>
        </w:rPr>
        <w:t>2. Umowa obowiązuje od dnia jej zawarcia, jednakże sprzedaż energii elektrycznej będzie realizowana nie wcześniej niż po pozytywnie przeprowadzonej procedurze zmiany sprzedawcy a w przypadku nowych PPE od daty montażu licznika przez OSD, po zgłoszeniu przez Sprzedawcę sprzedaży energii elektrycznej dla nowego punktu do przyłączenia do sieci OSD</w:t>
      </w:r>
      <w:bookmarkStart w:id="4" w:name="Tekst17"/>
      <w:r>
        <w:rPr>
          <w:rFonts w:cs="Times New Roman" w:ascii="Times New Roman" w:hAnsi="Times New Roman"/>
          <w:sz w:val="24"/>
          <w:szCs w:val="24"/>
        </w:rPr>
        <w:t xml:space="preserve"> nie później jednak niż od dnia 01.01.2027 roku. </w:t>
      </w:r>
    </w:p>
    <w:p>
      <w:pPr>
        <w:pStyle w:val="ListParagraph"/>
        <w:widowControl w:val="false"/>
        <w:suppressAutoHyphens w:val="true"/>
        <w:spacing w:lineRule="auto" w:line="360"/>
        <w:ind w:left="0" w:right="0" w:hanging="0"/>
        <w:jc w:val="left"/>
        <w:rPr>
          <w:rFonts w:ascii="Times New Roman" w:hAnsi="Times New Roman" w:cs="Times New Roman"/>
          <w:b/>
          <w:b/>
          <w:bCs/>
          <w:sz w:val="24"/>
          <w:szCs w:val="24"/>
        </w:rPr>
      </w:pPr>
      <w:r>
        <w:rPr>
          <w:rFonts w:cs="Times New Roman" w:ascii="Times New Roman" w:hAnsi="Times New Roman"/>
          <w:sz w:val="24"/>
          <w:szCs w:val="24"/>
        </w:rPr>
        <w:t>3. Sprzedawana energia elektryczna będzie rozliczana według ceny jednostkowej energii elektrycznej netto określonej w ofercie, która wynosi:</w:t>
      </w:r>
    </w:p>
    <w:tbl>
      <w:tblPr>
        <w:tblW w:w="7680" w:type="dxa"/>
        <w:jc w:val="center"/>
        <w:tblInd w:w="0" w:type="dxa"/>
        <w:tblLayout w:type="fixed"/>
        <w:tblCellMar>
          <w:top w:w="0" w:type="dxa"/>
          <w:left w:w="108" w:type="dxa"/>
          <w:bottom w:w="0" w:type="dxa"/>
          <w:right w:w="108" w:type="dxa"/>
        </w:tblCellMar>
      </w:tblPr>
      <w:tblGrid>
        <w:gridCol w:w="2262"/>
        <w:gridCol w:w="3828"/>
        <w:gridCol w:w="1590"/>
      </w:tblGrid>
      <w:tr>
        <w:trPr>
          <w:trHeight w:val="1122" w:hRule="atLeast"/>
        </w:trPr>
        <w:tc>
          <w:tcPr>
            <w:tcW w:w="2262" w:type="dxa"/>
            <w:tcBorders>
              <w:top w:val="single" w:sz="4" w:space="0" w:color="000000"/>
              <w:left w:val="single" w:sz="4" w:space="0" w:color="000000"/>
              <w:bottom w:val="single" w:sz="4" w:space="0" w:color="000000"/>
            </w:tcBorders>
            <w:vAlign w:val="center"/>
          </w:tcPr>
          <w:p>
            <w:pPr>
              <w:pStyle w:val="Normal"/>
              <w:spacing w:lineRule="auto" w:line="360"/>
              <w:jc w:val="left"/>
              <w:rPr>
                <w:rFonts w:ascii="Times New Roman" w:hAnsi="Times New Roman" w:cs="Times New Roman"/>
                <w:b/>
                <w:b/>
                <w:bCs/>
                <w:sz w:val="24"/>
                <w:szCs w:val="24"/>
              </w:rPr>
            </w:pPr>
            <w:r>
              <w:rPr>
                <w:rFonts w:cs="Times New Roman" w:ascii="Times New Roman" w:hAnsi="Times New Roman"/>
                <w:b/>
                <w:bCs/>
                <w:sz w:val="24"/>
                <w:szCs w:val="24"/>
              </w:rPr>
              <w:t>Grupa taryfowa</w:t>
            </w:r>
          </w:p>
        </w:tc>
        <w:tc>
          <w:tcPr>
            <w:tcW w:w="3828" w:type="dxa"/>
            <w:tcBorders>
              <w:top w:val="single" w:sz="4" w:space="0" w:color="000000"/>
              <w:left w:val="single" w:sz="4" w:space="0" w:color="000000"/>
              <w:bottom w:val="single" w:sz="4" w:space="0" w:color="000000"/>
            </w:tcBorders>
            <w:vAlign w:val="center"/>
          </w:tcPr>
          <w:p>
            <w:pPr>
              <w:pStyle w:val="Normal"/>
              <w:spacing w:lineRule="auto" w:line="360"/>
              <w:jc w:val="left"/>
              <w:rPr>
                <w:rFonts w:ascii="Times New Roman" w:hAnsi="Times New Roman" w:cs="Times New Roman"/>
                <w:b/>
                <w:b/>
                <w:bCs/>
                <w:sz w:val="24"/>
                <w:szCs w:val="24"/>
              </w:rPr>
            </w:pPr>
            <w:r>
              <w:rPr>
                <w:rFonts w:cs="Times New Roman" w:ascii="Times New Roman" w:hAnsi="Times New Roman"/>
                <w:b/>
                <w:bCs/>
                <w:sz w:val="24"/>
                <w:szCs w:val="24"/>
              </w:rPr>
              <w:t>Cena jednostkowa netto za energię czynną uwzględniająca podatek akcyzowy, bez podatku VAT</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jc w:val="left"/>
              <w:rPr>
                <w:rFonts w:ascii="Times New Roman" w:hAnsi="Times New Roman" w:cs="Times New Roman"/>
                <w:b/>
                <w:b/>
                <w:bCs/>
                <w:sz w:val="24"/>
                <w:szCs w:val="24"/>
              </w:rPr>
            </w:pPr>
            <w:r>
              <w:rPr>
                <w:rFonts w:cs="Times New Roman" w:ascii="Times New Roman" w:hAnsi="Times New Roman"/>
                <w:b/>
                <w:bCs/>
                <w:sz w:val="24"/>
                <w:szCs w:val="24"/>
              </w:rPr>
              <w:t>Stawka podatku VAT</w:t>
            </w:r>
          </w:p>
        </w:tc>
      </w:tr>
      <w:tr>
        <w:trPr>
          <w:trHeight w:val="339" w:hRule="atLeast"/>
        </w:trPr>
        <w:tc>
          <w:tcPr>
            <w:tcW w:w="2262" w:type="dxa"/>
            <w:tcBorders>
              <w:top w:val="single" w:sz="4" w:space="0" w:color="000000"/>
              <w:left w:val="single" w:sz="4" w:space="0" w:color="000000"/>
              <w:bottom w:val="single" w:sz="4" w:space="0" w:color="000000"/>
            </w:tcBorders>
            <w:vAlign w:val="center"/>
          </w:tcPr>
          <w:p>
            <w:pPr>
              <w:pStyle w:val="Normal"/>
              <w:spacing w:lineRule="auto" w:line="360"/>
              <w:jc w:val="center"/>
              <w:rPr>
                <w:rFonts w:ascii="Times New Roman" w:hAnsi="Times New Roman" w:cs="Times New Roman"/>
                <w:sz w:val="16"/>
                <w:szCs w:val="16"/>
              </w:rPr>
            </w:pPr>
            <w:r>
              <w:rPr>
                <w:rFonts w:cs="Times New Roman" w:ascii="Times New Roman" w:hAnsi="Times New Roman"/>
                <w:sz w:val="16"/>
                <w:szCs w:val="16"/>
              </w:rPr>
              <w:t>1</w:t>
            </w:r>
          </w:p>
        </w:tc>
        <w:tc>
          <w:tcPr>
            <w:tcW w:w="3828" w:type="dxa"/>
            <w:tcBorders>
              <w:top w:val="single" w:sz="4" w:space="0" w:color="000000"/>
              <w:left w:val="single" w:sz="4" w:space="0" w:color="000000"/>
              <w:bottom w:val="single" w:sz="4" w:space="0" w:color="000000"/>
            </w:tcBorders>
            <w:vAlign w:val="center"/>
          </w:tcPr>
          <w:p>
            <w:pPr>
              <w:pStyle w:val="Normal"/>
              <w:spacing w:lineRule="auto" w:line="360"/>
              <w:jc w:val="center"/>
              <w:rPr>
                <w:rFonts w:ascii="Times New Roman" w:hAnsi="Times New Roman" w:cs="Times New Roman"/>
                <w:sz w:val="16"/>
                <w:szCs w:val="16"/>
              </w:rPr>
            </w:pPr>
            <w:r>
              <w:rPr>
                <w:rFonts w:cs="Times New Roman" w:ascii="Times New Roman" w:hAnsi="Times New Roman"/>
                <w:sz w:val="16"/>
                <w:szCs w:val="16"/>
              </w:rPr>
              <w:t>2</w:t>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360"/>
              <w:jc w:val="center"/>
              <w:rPr>
                <w:rFonts w:ascii="Times New Roman" w:hAnsi="Times New Roman" w:cs="Times New Roman"/>
                <w:sz w:val="16"/>
                <w:szCs w:val="16"/>
              </w:rPr>
            </w:pPr>
            <w:r>
              <w:rPr>
                <w:rFonts w:cs="Times New Roman" w:ascii="Times New Roman" w:hAnsi="Times New Roman"/>
                <w:sz w:val="16"/>
                <w:szCs w:val="16"/>
              </w:rPr>
              <w:t>3</w:t>
            </w:r>
          </w:p>
        </w:tc>
      </w:tr>
      <w:tr>
        <w:trPr>
          <w:trHeight w:val="496" w:hRule="atLeast"/>
        </w:trPr>
        <w:tc>
          <w:tcPr>
            <w:tcW w:w="2262" w:type="dxa"/>
            <w:tcBorders>
              <w:top w:val="single" w:sz="4" w:space="0" w:color="000000"/>
              <w:left w:val="single" w:sz="4" w:space="0" w:color="000000"/>
              <w:bottom w:val="single" w:sz="4" w:space="0" w:color="000000"/>
            </w:tcBorders>
          </w:tcPr>
          <w:p>
            <w:pPr>
              <w:pStyle w:val="Normal"/>
              <w:snapToGrid w:val="false"/>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tc>
        <w:tc>
          <w:tcPr>
            <w:tcW w:w="3828" w:type="dxa"/>
            <w:tcBorders>
              <w:top w:val="single" w:sz="4" w:space="0" w:color="000000"/>
              <w:left w:val="single" w:sz="4" w:space="0" w:color="000000"/>
              <w:bottom w:val="single" w:sz="4" w:space="0" w:color="000000"/>
            </w:tcBorders>
            <w:vAlign w:val="center"/>
          </w:tcPr>
          <w:p>
            <w:pPr>
              <w:pStyle w:val="Normal"/>
              <w:snapToGrid w:val="false"/>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tc>
        <w:tc>
          <w:tcPr>
            <w:tcW w:w="1590"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tc>
      </w:tr>
    </w:tbl>
    <w:p>
      <w:pPr>
        <w:pStyle w:val="Normal"/>
        <w:spacing w:lineRule="auto" w:line="360" w:before="120" w:after="0"/>
        <w:ind w:left="0" w:right="0" w:hanging="426"/>
        <w:jc w:val="left"/>
        <w:rPr>
          <w:rFonts w:ascii="Times New Roman" w:hAnsi="Times New Roman" w:cs="Times New Roman"/>
          <w:b/>
          <w:b/>
          <w:bCs/>
          <w:sz w:val="24"/>
          <w:szCs w:val="24"/>
        </w:rPr>
      </w:pPr>
      <w:r>
        <w:rPr>
          <w:rFonts w:cs="Times New Roman" w:ascii="Times New Roman" w:hAnsi="Times New Roman"/>
          <w:b/>
          <w:bCs/>
          <w:sz w:val="24"/>
          <w:szCs w:val="24"/>
        </w:rPr>
      </w:r>
      <w:bookmarkEnd w:id="4"/>
    </w:p>
    <w:p>
      <w:pPr>
        <w:pStyle w:val="ListParagraph"/>
        <w:spacing w:lineRule="auto" w:line="360" w:before="120" w:after="200"/>
        <w:ind w:left="0" w:right="0" w:hanging="0"/>
        <w:jc w:val="left"/>
        <w:rPr>
          <w:rFonts w:ascii="Times New Roman" w:hAnsi="Times New Roman" w:cs="Times New Roman"/>
          <w:sz w:val="24"/>
          <w:szCs w:val="24"/>
        </w:rPr>
      </w:pPr>
      <w:r>
        <w:rPr>
          <w:rFonts w:cs="Times New Roman" w:ascii="Times New Roman" w:hAnsi="Times New Roman"/>
          <w:sz w:val="24"/>
          <w:szCs w:val="24"/>
        </w:rPr>
        <w:t>4. Cena jednostkowa netto, o której mowa w ust. 3 obejmuje wszystkie koszty i składniki związane z realizacją przedmiotu Umowy. Cena może ulec zmianie wyłącznie w przypadku zaistnienia okoliczności o których mowa w § 11. Cena jednostkowa netto określona w ust. 3 obowiązuje również dla nowych obiektów Zamawiającego wprowadzonych do umowy.</w:t>
      </w:r>
    </w:p>
    <w:p>
      <w:pPr>
        <w:pStyle w:val="ListParagraph"/>
        <w:spacing w:lineRule="auto" w:line="360" w:before="120" w:after="200"/>
        <w:ind w:left="0" w:right="0" w:hanging="0"/>
        <w:jc w:val="left"/>
        <w:rPr>
          <w:rFonts w:ascii="Times New Roman" w:hAnsi="Times New Roman" w:cs="Times New Roman"/>
          <w:sz w:val="24"/>
          <w:szCs w:val="24"/>
        </w:rPr>
      </w:pPr>
      <w:r>
        <w:rPr>
          <w:rFonts w:cs="Times New Roman" w:ascii="Times New Roman" w:hAnsi="Times New Roman"/>
          <w:sz w:val="24"/>
          <w:szCs w:val="24"/>
        </w:rPr>
        <w:t>5. Szacunkowe przewidywane łączne wynagrodzenie Wykonawcy wyniesie</w:t>
      </w:r>
      <w:r>
        <w:rPr>
          <w:rFonts w:cs="Times New Roman" w:ascii="Times New Roman" w:hAnsi="Times New Roman"/>
          <w:b/>
          <w:bCs/>
          <w:sz w:val="24"/>
          <w:szCs w:val="24"/>
        </w:rPr>
        <w:t xml:space="preserve"> ………………………. złotych brutto</w:t>
      </w:r>
      <w:r>
        <w:rPr>
          <w:rFonts w:cs="Times New Roman" w:ascii="Times New Roman" w:hAnsi="Times New Roman"/>
          <w:sz w:val="24"/>
          <w:szCs w:val="24"/>
        </w:rPr>
        <w:t xml:space="preserve"> (słownie: …................................................................... …………………………………………………………………………………………….…) przy uwzględnieniu prognozy oraz szacowanego zużycia wskazanego w §2 ust. 2 Umowy, </w:t>
        <w:br/>
        <w:t>w odniesieniu do punktu poboru zgodnie z Załącznikiem nr 1 do Formularza ofertowego.</w:t>
      </w:r>
    </w:p>
    <w:p>
      <w:pPr>
        <w:pStyle w:val="ListParagraph"/>
        <w:spacing w:lineRule="auto" w:line="360" w:before="120" w:after="200"/>
        <w:ind w:left="0" w:right="0" w:hanging="0"/>
        <w:jc w:val="left"/>
        <w:rPr>
          <w:rFonts w:ascii="Times New Roman" w:hAnsi="Times New Roman" w:cs="Times New Roman"/>
          <w:sz w:val="24"/>
          <w:szCs w:val="24"/>
        </w:rPr>
      </w:pPr>
      <w:r>
        <w:rPr>
          <w:rFonts w:cs="Times New Roman" w:ascii="Times New Roman" w:hAnsi="Times New Roman"/>
          <w:sz w:val="24"/>
          <w:szCs w:val="24"/>
        </w:rPr>
        <w:t xml:space="preserve">6. Strony ustalają za sprzedaną Wykonawcy energię elektryczną cenę netto obliczoną jako iloczyn wyrażonej w MWh ilości energii elektrycznej wytworzonej w instalacji OZE Zamawiającego oraz wyrażonej w zł/MWh ceny jednostkowej netto wyliczonej zgodnie </w:t>
        <w:br/>
        <w:t xml:space="preserve">z poniższym wzorem: </w:t>
      </w:r>
    </w:p>
    <w:p>
      <w:pPr>
        <w:pStyle w:val="Normal"/>
        <w:tabs>
          <w:tab w:val="clear" w:pos="708"/>
          <w:tab w:val="left" w:pos="284" w:leader="none"/>
          <w:tab w:val="left" w:pos="993" w:leader="none"/>
        </w:tabs>
        <w:spacing w:lineRule="auto" w:line="360"/>
        <w:jc w:val="center"/>
        <w:rPr>
          <w:rFonts w:ascii="Times New Roman" w:hAnsi="Times New Roman" w:cs="Times New Roman"/>
          <w:sz w:val="24"/>
          <w:szCs w:val="24"/>
        </w:rPr>
      </w:pPr>
      <w:r>
        <w:rPr>
          <w:rFonts w:cs="Times New Roman" w:ascii="Times New Roman" w:hAnsi="Times New Roman"/>
          <w:sz w:val="24"/>
          <w:szCs w:val="24"/>
        </w:rPr>
        <w:t>N=……%CPURE*EW</w:t>
      </w:r>
    </w:p>
    <w:p>
      <w:pPr>
        <w:pStyle w:val="Normal"/>
        <w:tabs>
          <w:tab w:val="clear" w:pos="708"/>
          <w:tab w:val="left" w:pos="284" w:leader="none"/>
          <w:tab w:val="left" w:pos="993"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gdzie:</w:t>
      </w:r>
    </w:p>
    <w:p>
      <w:pPr>
        <w:pStyle w:val="Normal"/>
        <w:tabs>
          <w:tab w:val="clear" w:pos="708"/>
          <w:tab w:val="left" w:pos="284" w:leader="none"/>
          <w:tab w:val="left" w:pos="993"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N – cena odkupu wyprodukowanej energii elektrycznej,</w:t>
      </w:r>
    </w:p>
    <w:p>
      <w:pPr>
        <w:pStyle w:val="Normal"/>
        <w:tabs>
          <w:tab w:val="clear" w:pos="708"/>
          <w:tab w:val="left" w:pos="284" w:leader="none"/>
          <w:tab w:val="left" w:pos="993"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CPURE – cena kontraktowa (średnia cena sprzedaży energii elektrycznej na rynku konkurencyjnym w poprzednim kwartale, ogłoszona przez Prezesa URE, o której mowa w art. 23 ust. 2 pkt 18a ustawy Prawo energetyczne) [zł/MWh]</w:t>
      </w:r>
    </w:p>
    <w:p>
      <w:pPr>
        <w:pStyle w:val="Normal"/>
        <w:tabs>
          <w:tab w:val="clear" w:pos="708"/>
          <w:tab w:val="left" w:pos="284" w:leader="none"/>
          <w:tab w:val="left" w:pos="993"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EW – to ilość rzeczywiście wprowadzonej energii elektrycznej do sieci OSD w danym okresie rozliczeniowym,</w:t>
      </w:r>
    </w:p>
    <w:p>
      <w:pPr>
        <w:pStyle w:val="Normal"/>
        <w:tabs>
          <w:tab w:val="clear" w:pos="708"/>
          <w:tab w:val="left" w:pos="284" w:leader="none"/>
          <w:tab w:val="left" w:pos="993"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Do łącznej ceny zostanie naliczony podatek VAT zgodnie z obowiązującymi przepisami. </w:t>
      </w:r>
    </w:p>
    <w:p>
      <w:pPr>
        <w:pStyle w:val="Normal"/>
        <w:spacing w:lineRule="auto" w:line="360"/>
        <w:ind w:left="0" w:right="0" w:hanging="567"/>
        <w:jc w:val="left"/>
        <w:rPr>
          <w:rFonts w:ascii="Times New Roman" w:hAnsi="Times New Roman" w:cs="Times New Roman"/>
          <w:sz w:val="24"/>
          <w:szCs w:val="24"/>
        </w:rPr>
      </w:pPr>
      <w:r>
        <w:rPr>
          <w:rFonts w:eastAsia="Times New Roman" w:cs="Times New Roman" w:ascii="Times New Roman" w:hAnsi="Times New Roman"/>
          <w:sz w:val="24"/>
          <w:szCs w:val="24"/>
        </w:rPr>
        <w:t xml:space="preserve"> </w:t>
      </w:r>
    </w:p>
    <w:p>
      <w:pPr>
        <w:pStyle w:val="Normal"/>
        <w:spacing w:lineRule="auto" w:line="360"/>
        <w:ind w:left="0" w:right="0" w:hanging="567"/>
        <w:jc w:val="left"/>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567" w:leader="none"/>
        </w:tabs>
        <w:spacing w:lineRule="auto" w:line="360"/>
        <w:jc w:val="center"/>
        <w:rPr>
          <w:rFonts w:ascii="Times New Roman" w:hAnsi="Times New Roman" w:cs="Times New Roman"/>
          <w:sz w:val="24"/>
          <w:szCs w:val="24"/>
        </w:rPr>
      </w:pPr>
      <w:r>
        <w:rPr>
          <w:rFonts w:cs="Times New Roman" w:ascii="Times New Roman" w:hAnsi="Times New Roman"/>
          <w:b/>
          <w:sz w:val="24"/>
          <w:szCs w:val="24"/>
        </w:rPr>
        <w:t>§ 6</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 xml:space="preserve">1. Rozliczenia za pobraną energię elektryczną odbywać się będą na podstawie odczytów układów pomiarowo – rozliczeniowych zgodnie z okresem rozliczeniowym lokalnego OSD, lecz nie częściej niż co miesiąc. Wykonawca otrzymywać będzie wynagrodzenie z tytułu realizacji niniejszej umowy w wysokości określonej w § 5 ust. 3 za 1 kWh zużytej energii elektrycznej na podstawie wskazań układu/układów pomiarowo – rozliczeniowego/rozliczeniowych udostępnionych przez OSD w danym okresie rozliczeniowym do punktu poboru energii elektrycznej </w:t>
      </w:r>
      <w:r>
        <w:rPr>
          <w:rFonts w:cs="Times New Roman" w:ascii="Times New Roman" w:hAnsi="Times New Roman"/>
          <w:b/>
          <w:sz w:val="24"/>
          <w:szCs w:val="24"/>
        </w:rPr>
        <w:t xml:space="preserve">Zamawiającego </w:t>
      </w:r>
      <w:r>
        <w:rPr>
          <w:rFonts w:cs="Times New Roman" w:ascii="Times New Roman" w:hAnsi="Times New Roman"/>
          <w:sz w:val="24"/>
          <w:szCs w:val="24"/>
        </w:rPr>
        <w:t>ujętego w załączniku nr 1 do Formularza ofertowego, powiększone o podatek VAT.</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 xml:space="preserve">2. Faktury będą obejmować wynagrodzenie jedynie za rzeczywiście pobraną energię w danym okresie rozliczeniowym, ustaloną na podstawie wskazań układu pomiarowo-rozliczeniowego lub danych pomiarowo-rozliczeniowych, udostępnianych </w:t>
      </w:r>
      <w:r>
        <w:rPr>
          <w:rFonts w:cs="Times New Roman" w:ascii="Times New Roman" w:hAnsi="Times New Roman"/>
          <w:b/>
          <w:sz w:val="24"/>
          <w:szCs w:val="24"/>
        </w:rPr>
        <w:t>Wykonawcy</w:t>
      </w:r>
      <w:r>
        <w:rPr>
          <w:rFonts w:cs="Times New Roman" w:ascii="Times New Roman" w:hAnsi="Times New Roman"/>
          <w:sz w:val="24"/>
          <w:szCs w:val="24"/>
        </w:rPr>
        <w:t xml:space="preserve"> przez </w:t>
      </w:r>
      <w:r>
        <w:rPr>
          <w:rFonts w:cs="Times New Roman" w:ascii="Times New Roman" w:hAnsi="Times New Roman"/>
          <w:b/>
          <w:sz w:val="24"/>
          <w:szCs w:val="24"/>
        </w:rPr>
        <w:t>OSD</w:t>
      </w:r>
      <w:r>
        <w:rPr>
          <w:rFonts w:cs="Times New Roman" w:ascii="Times New Roman" w:hAnsi="Times New Roman"/>
          <w:sz w:val="24"/>
          <w:szCs w:val="24"/>
        </w:rPr>
        <w:t>.</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 xml:space="preserve">3. W przypadku stwierdzenia błędów w pomiarze lub odczycie wskazań układu pomiarowo-rozliczeniowego, które spowodowały zaniżenie lub zawyżenie faktycznie pobranej energii elektrycznej Strony są zobowiązane do przekazania środków finansowych należnych za energię elektryczną na podstawie ilości energii elektrycznej stanowiącej średnią liczbę jednostek energii elektrycznej za okres doby (obliczaną na podstawie sumy jednostek energii elektrycznej prawidłowo wykazanych przez układ pomiarowo-rozliczeniowy </w:t>
        <w:br/>
        <w:t xml:space="preserve">w poprzednim okresie rozliczeniowym, podzieloną przez liczbę dni tego okresu rozliczeniowego), pomnożoną przez liczbę dni okresu, którego dotyczy korekta faktury. </w:t>
        <w:br/>
        <w:t xml:space="preserve">W wyliczaniu wielkości korekty należy uwzględnić sezonowość poboru energii elektrycznej oraz inne udokumentowane okoliczności mające wpływ na wielkość poboru tej energii. </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4. Podstawą do wyliczenia wielkości korekty faktury jest:</w:t>
      </w:r>
    </w:p>
    <w:p>
      <w:pPr>
        <w:pStyle w:val="ListParagraph"/>
        <w:numPr>
          <w:ilvl w:val="0"/>
          <w:numId w:val="13"/>
        </w:numPr>
        <w:tabs>
          <w:tab w:val="clear" w:pos="708"/>
          <w:tab w:val="left" w:pos="567"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sz w:val="24"/>
          <w:szCs w:val="24"/>
        </w:rPr>
        <w:t xml:space="preserve">wielkość błędu odczytu lub wskazań układu pomiarowo-rozliczeniowego </w:t>
      </w:r>
    </w:p>
    <w:p>
      <w:pPr>
        <w:pStyle w:val="ListParagraph"/>
        <w:numPr>
          <w:ilvl w:val="0"/>
          <w:numId w:val="13"/>
        </w:numPr>
        <w:tabs>
          <w:tab w:val="clear" w:pos="708"/>
          <w:tab w:val="left" w:pos="567" w:leader="none"/>
        </w:tabs>
        <w:overflowPunct w:val="true"/>
        <w:spacing w:lineRule="auto" w:line="360"/>
        <w:ind w:left="284" w:right="0" w:hanging="284"/>
        <w:jc w:val="left"/>
        <w:rPr>
          <w:rFonts w:ascii="Times New Roman" w:hAnsi="Times New Roman" w:cs="Times New Roman"/>
          <w:sz w:val="24"/>
          <w:szCs w:val="24"/>
        </w:rPr>
      </w:pPr>
      <w:r>
        <w:rPr>
          <w:rFonts w:cs="Times New Roman" w:ascii="Times New Roman" w:hAnsi="Times New Roman"/>
          <w:sz w:val="24"/>
          <w:szCs w:val="24"/>
        </w:rPr>
        <w:t>jeżeli określenie wielkości błędu, o którym mowa w lit. A, nie jest możliwe, podstawę do wyliczenia wielkości korekty stanowi średnia liczba jednostek energii elektrycznej za okres doby (obliczaną na podstawie sumy jednostek energii elektrycznej prawidłowo wykazanych przez układ pomiarowo-rozliczeniowy w poprzednim okresie rozliczeniowym, podzieloną przez liczbę dni tego okresu rozliczeniowego), pomnożoną przez liczbę dni okresu, którego dotyczy korekta faktury.</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5. Jeżeli nie można ustalić średniego dobowego zużycia energii elektrycznej na podstawie poprzedniego okresu rozliczeniowego, podstawą wyliczenia wielkości korekty jest wskazanie układu pomiarowo-rozliczeniowego z następnego okresu rozliczeniowego.</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6. W wyliczaniu wielkości korekty należy uwzględnić sezonowość poboru energii elektrycznej oraz inne udokumentowane okoliczności mające wpływ na wielkość poboru tej energii.</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sz w:val="24"/>
          <w:szCs w:val="24"/>
        </w:rPr>
        <w:t>7. Jeżeli błędy wskazane w ust. 3 spowodowały zawyżenie lub zaniżenie należności za dostarczoną energię elektryczną Wykonawca jest obowiązany dokonać korekty uprzednio wystawionych faktur. Nadpłata wynikająca z korekty rozliczeń wskazanych w fakturze korygującej podlega zaliczeniu na poczet płatności w najbliższym okresie rozliczeniowym. W przypadku powstania niedopłaty będzie ona podlegała doliczeniu do pierwszej wystawianej faktury.</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bCs/>
          <w:iCs/>
          <w:sz w:val="24"/>
          <w:szCs w:val="24"/>
        </w:rPr>
      </w:pPr>
      <w:r>
        <w:rPr>
          <w:rFonts w:cs="Times New Roman" w:ascii="Times New Roman" w:hAnsi="Times New Roman"/>
          <w:sz w:val="24"/>
          <w:szCs w:val="24"/>
        </w:rPr>
        <w:t>8. Wykonawca dokonuje również korekty faktur wystawionych z zastosowaniem cen innych niż ceny wymienione w § 5 ust. 3.</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sz w:val="24"/>
          <w:szCs w:val="24"/>
        </w:rPr>
      </w:pPr>
      <w:r>
        <w:rPr>
          <w:rFonts w:cs="Times New Roman" w:ascii="Times New Roman" w:hAnsi="Times New Roman"/>
          <w:bCs/>
          <w:iCs/>
          <w:sz w:val="24"/>
          <w:szCs w:val="24"/>
        </w:rPr>
        <w:t xml:space="preserve">9. Strony ustalają następujący sposób rozliczeń, w którym </w:t>
      </w:r>
      <w:r>
        <w:rPr>
          <w:rFonts w:cs="Times New Roman" w:ascii="Times New Roman" w:hAnsi="Times New Roman"/>
          <w:b/>
          <w:bCs/>
          <w:iCs/>
          <w:sz w:val="24"/>
          <w:szCs w:val="24"/>
        </w:rPr>
        <w:t>Wykonawca</w:t>
      </w:r>
      <w:r>
        <w:rPr>
          <w:rFonts w:cs="Times New Roman" w:ascii="Times New Roman" w:hAnsi="Times New Roman"/>
          <w:bCs/>
          <w:iCs/>
          <w:sz w:val="24"/>
          <w:szCs w:val="24"/>
        </w:rPr>
        <w:t xml:space="preserve"> wystawia </w:t>
      </w:r>
      <w:r>
        <w:rPr>
          <w:rFonts w:cs="Times New Roman" w:ascii="Times New Roman" w:hAnsi="Times New Roman"/>
          <w:b/>
          <w:bCs/>
          <w:iCs/>
          <w:sz w:val="24"/>
          <w:szCs w:val="24"/>
        </w:rPr>
        <w:t>Zamawiającemu</w:t>
      </w:r>
      <w:r>
        <w:rPr>
          <w:rFonts w:cs="Times New Roman" w:ascii="Times New Roman" w:hAnsi="Times New Roman"/>
          <w:bCs/>
          <w:iCs/>
          <w:sz w:val="24"/>
          <w:szCs w:val="24"/>
        </w:rPr>
        <w:t xml:space="preserve"> na koniec okresu rozliczeniowego stosowanego przez OSD fakturę rozliczeniową, z terminem płatności </w:t>
      </w:r>
      <w:r>
        <w:rPr>
          <w:rFonts w:cs="Times New Roman" w:ascii="Times New Roman" w:hAnsi="Times New Roman"/>
          <w:sz w:val="24"/>
          <w:szCs w:val="24"/>
        </w:rPr>
        <w:t xml:space="preserve">określonym na 30 dni od daty prawidłowego wystawienia faktury VAT przez </w:t>
      </w:r>
      <w:r>
        <w:rPr>
          <w:rFonts w:cs="Times New Roman" w:ascii="Times New Roman" w:hAnsi="Times New Roman"/>
          <w:b/>
          <w:sz w:val="24"/>
          <w:szCs w:val="24"/>
        </w:rPr>
        <w:t>Wykonawcę</w:t>
      </w:r>
      <w:r>
        <w:rPr>
          <w:rFonts w:cs="Times New Roman" w:ascii="Times New Roman" w:hAnsi="Times New Roman"/>
          <w:sz w:val="24"/>
          <w:szCs w:val="24"/>
        </w:rPr>
        <w:t xml:space="preserve">, przelewem na rachunek bankowy wskazany na fakturze VAT. </w:t>
      </w:r>
      <w:r>
        <w:rPr>
          <w:rFonts w:cs="Times New Roman" w:ascii="Times New Roman" w:hAnsi="Times New Roman"/>
          <w:b/>
          <w:sz w:val="24"/>
          <w:szCs w:val="24"/>
        </w:rPr>
        <w:t>Wykonawca</w:t>
      </w:r>
      <w:r>
        <w:rPr>
          <w:rFonts w:cs="Times New Roman" w:ascii="Times New Roman" w:hAnsi="Times New Roman"/>
          <w:sz w:val="24"/>
          <w:szCs w:val="24"/>
        </w:rPr>
        <w:t xml:space="preserve"> zobowiązany jest do doręczenia faktury na co najmniej </w:t>
        <w:br/>
        <w:t xml:space="preserve">23 dni przed określonym terminem płatności. W razie niezachowania tego terminu, termin płatności wskazany w fakturze VAT zostanie </w:t>
      </w:r>
      <w:r>
        <w:rPr>
          <w:rFonts w:cs="Times New Roman" w:ascii="Times New Roman" w:hAnsi="Times New Roman"/>
          <w:iCs/>
          <w:sz w:val="24"/>
          <w:szCs w:val="24"/>
        </w:rPr>
        <w:t>na pisemny wniosek Odbiorcy przedłużony o czas opóźnienia.</w:t>
      </w:r>
      <w:r>
        <w:rPr>
          <w:rFonts w:cs="Times New Roman" w:ascii="Times New Roman" w:hAnsi="Times New Roman"/>
          <w:sz w:val="24"/>
          <w:szCs w:val="24"/>
        </w:rPr>
        <w:t xml:space="preserve"> Ponadto, w przypadku, gdy </w:t>
      </w:r>
      <w:r>
        <w:rPr>
          <w:rFonts w:cs="Times New Roman" w:ascii="Times New Roman" w:hAnsi="Times New Roman"/>
          <w:b/>
          <w:sz w:val="24"/>
          <w:szCs w:val="24"/>
        </w:rPr>
        <w:t>Wykonawca</w:t>
      </w:r>
      <w:r>
        <w:rPr>
          <w:rFonts w:cs="Times New Roman" w:ascii="Times New Roman" w:hAnsi="Times New Roman"/>
          <w:sz w:val="24"/>
          <w:szCs w:val="24"/>
        </w:rPr>
        <w:t xml:space="preserve"> wystawi </w:t>
      </w:r>
      <w:r>
        <w:rPr>
          <w:rFonts w:cs="Times New Roman" w:ascii="Times New Roman" w:hAnsi="Times New Roman"/>
          <w:b/>
          <w:sz w:val="24"/>
          <w:szCs w:val="24"/>
        </w:rPr>
        <w:t>Zamawiającemu</w:t>
      </w:r>
      <w:r>
        <w:rPr>
          <w:rFonts w:cs="Times New Roman" w:ascii="Times New Roman" w:hAnsi="Times New Roman"/>
          <w:sz w:val="24"/>
          <w:szCs w:val="24"/>
        </w:rPr>
        <w:t xml:space="preserve"> fakturę w terminie przekraczającym termin umowny (koniec okresu rozliczeniowego stosowanego przez OSD) o 30 dni, zapłaci on </w:t>
      </w:r>
      <w:r>
        <w:rPr>
          <w:rFonts w:cs="Times New Roman" w:ascii="Times New Roman" w:hAnsi="Times New Roman"/>
          <w:b/>
          <w:sz w:val="24"/>
          <w:szCs w:val="24"/>
        </w:rPr>
        <w:t>Zamawiającemu</w:t>
      </w:r>
      <w:r>
        <w:rPr>
          <w:rFonts w:cs="Times New Roman" w:ascii="Times New Roman" w:hAnsi="Times New Roman"/>
          <w:sz w:val="24"/>
          <w:szCs w:val="24"/>
        </w:rPr>
        <w:t xml:space="preserve"> karę umowną w wysokości 20 PLN za każdy punkt poboru energii objęty niniejszą Umową za każdy dzień opóźnienia. </w:t>
      </w:r>
      <w:r>
        <w:rPr>
          <w:rFonts w:cs="Times New Roman" w:ascii="Times New Roman" w:hAnsi="Times New Roman"/>
          <w:iCs/>
          <w:sz w:val="24"/>
          <w:szCs w:val="24"/>
        </w:rPr>
        <w:t xml:space="preserve">Termin zapłaty kary umownej wynosi 7 dni od dnia doręczenia Wykonawcy wezwania do zapłaty. W razie opóźnienia z zapłatą kary umownej Zamawiający może żądać odsetek ustawowych za opóźnienie za każdy dzień opóźnienia. </w:t>
      </w:r>
    </w:p>
    <w:p>
      <w:pPr>
        <w:pStyle w:val="ListParagraph"/>
        <w:tabs>
          <w:tab w:val="clear" w:pos="708"/>
          <w:tab w:val="left" w:pos="567" w:leader="none"/>
        </w:tabs>
        <w:overflowPunct w:val="true"/>
        <w:spacing w:lineRule="auto" w:line="360"/>
        <w:ind w:left="0" w:right="0" w:hanging="0"/>
        <w:jc w:val="left"/>
        <w:rPr>
          <w:rFonts w:ascii="Times New Roman" w:hAnsi="Times New Roman" w:cs="Times New Roman"/>
          <w:b/>
          <w:b/>
          <w:sz w:val="24"/>
          <w:szCs w:val="24"/>
        </w:rPr>
      </w:pPr>
      <w:r>
        <w:rPr>
          <w:rFonts w:cs="Times New Roman" w:ascii="Times New Roman" w:hAnsi="Times New Roman"/>
          <w:sz w:val="24"/>
          <w:szCs w:val="24"/>
        </w:rPr>
        <w:t xml:space="preserve">10. Wykonawca na fakturze wskazuje odpowiedni do spełnienia świadczenia wynikającego                           z niniejszej Umowy rachunek rozliczeniowy lub rachunek wirtualny, który jest powiązany </w:t>
        <w:br/>
        <w:t>z rachunkiem rozliczeniowym należącym do Wykonawcy znajdującym się w elektronicznym wykazie podmiotów prowadzonych przez Szefa Krajowej Administracji Skarbowej zgodnie z art. 96b ust.3 pkt 13 ustawy o podatku od towarów i usług (VAT). W przypadku, gdy Wykonawca jest czynnym podatnikiem podatku od towarów i usług (podatku VAT) Zamawiający zastrzega sobie prawo do wstrzymania wypłaty wynagrodzenia, jeżeli wskazany do zapłaty rachunek rozliczeniowy, bądź w przypadku rachunku wirtualnego – powiązany z nim rachunek rozliczeniowy - nie znajduje się na udostępnionym przez Szefa Krajowej Administracji Skarbowej wykazie podmiotów zarejestrowanych jako podatnicy VAT, do czasu wskazania przez Wykonawcę dla potrzeb płatności rachunku rozliczeniowego, a w przypadku rachunku wirtualnego – powiązanego z nim rachunku rozliczeniowego, ujawnionego w wykazie podatników VAT.</w:t>
      </w:r>
      <w:r>
        <w:rPr>
          <w:rFonts w:cs="Times New Roman" w:ascii="Times New Roman" w:hAnsi="Times New Roman"/>
          <w:i/>
          <w:iCs/>
          <w:sz w:val="24"/>
          <w:szCs w:val="24"/>
        </w:rPr>
        <w:t xml:space="preserve"> </w:t>
      </w:r>
      <w:r>
        <w:rPr>
          <w:rFonts w:cs="Times New Roman" w:ascii="Times New Roman" w:hAnsi="Times New Roman"/>
          <w:sz w:val="24"/>
          <w:szCs w:val="24"/>
        </w:rPr>
        <w:t xml:space="preserve"> Wstrzymanie płatności nie stanowi opóźnienia upoważnionego do naliczenia przez Wykonawcę odsetek za opóźnienie w płatności.</w:t>
      </w:r>
    </w:p>
    <w:p>
      <w:pPr>
        <w:pStyle w:val="Normal"/>
        <w:spacing w:lineRule="auto" w:line="360"/>
        <w:jc w:val="center"/>
        <w:rPr>
          <w:rFonts w:ascii="Times New Roman" w:hAnsi="Times New Roman" w:cs="Times New Roman"/>
          <w:b/>
          <w:b/>
          <w:bCs/>
          <w:sz w:val="24"/>
          <w:szCs w:val="24"/>
        </w:rPr>
      </w:pPr>
      <w:r>
        <w:rPr>
          <w:rFonts w:cs="Times New Roman" w:ascii="Times New Roman" w:hAnsi="Times New Roman"/>
          <w:b/>
          <w:sz w:val="24"/>
          <w:szCs w:val="24"/>
        </w:rPr>
        <w:t>§ 7</w:t>
      </w:r>
    </w:p>
    <w:p>
      <w:pPr>
        <w:pStyle w:val="ListParagraph"/>
        <w:numPr>
          <w:ilvl w:val="0"/>
          <w:numId w:val="5"/>
        </w:numPr>
        <w:overflowPunct w:val="true"/>
        <w:spacing w:lineRule="auto" w:line="360"/>
        <w:jc w:val="left"/>
        <w:rPr>
          <w:rFonts w:ascii="Times New Roman" w:hAnsi="Times New Roman" w:cs="Times New Roman"/>
          <w:sz w:val="24"/>
          <w:szCs w:val="24"/>
        </w:rPr>
      </w:pPr>
      <w:r>
        <w:rPr>
          <w:rFonts w:cs="Times New Roman" w:ascii="Times New Roman" w:hAnsi="Times New Roman"/>
          <w:b/>
          <w:bCs/>
          <w:sz w:val="24"/>
          <w:szCs w:val="24"/>
        </w:rPr>
        <w:t>Strony</w:t>
      </w:r>
      <w:r>
        <w:rPr>
          <w:rFonts w:cs="Times New Roman" w:ascii="Times New Roman" w:hAnsi="Times New Roman"/>
          <w:sz w:val="24"/>
          <w:szCs w:val="24"/>
        </w:rPr>
        <w:t xml:space="preserve"> określają, że terminem spełnienia świadczenia jest dzień uznania rachunku bankowego </w:t>
      </w:r>
      <w:r>
        <w:rPr>
          <w:rFonts w:cs="Times New Roman" w:ascii="Times New Roman" w:hAnsi="Times New Roman"/>
          <w:b/>
          <w:sz w:val="24"/>
          <w:szCs w:val="24"/>
        </w:rPr>
        <w:t xml:space="preserve">Wykonawcy. </w:t>
      </w:r>
    </w:p>
    <w:p>
      <w:pPr>
        <w:pStyle w:val="ListParagraph"/>
        <w:numPr>
          <w:ilvl w:val="0"/>
          <w:numId w:val="5"/>
        </w:numPr>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W przypadku niedotrzymania terminu płatności faktur, </w:t>
      </w:r>
      <w:r>
        <w:rPr>
          <w:rFonts w:cs="Times New Roman" w:ascii="Times New Roman" w:hAnsi="Times New Roman"/>
          <w:b/>
          <w:sz w:val="24"/>
          <w:szCs w:val="24"/>
        </w:rPr>
        <w:t>Wykonawca</w:t>
      </w:r>
      <w:r>
        <w:rPr>
          <w:rFonts w:cs="Times New Roman" w:ascii="Times New Roman" w:hAnsi="Times New Roman"/>
          <w:sz w:val="24"/>
          <w:szCs w:val="24"/>
        </w:rPr>
        <w:t xml:space="preserve"> obciąża </w:t>
      </w:r>
      <w:r>
        <w:rPr>
          <w:rFonts w:cs="Times New Roman" w:ascii="Times New Roman" w:hAnsi="Times New Roman"/>
          <w:b/>
          <w:sz w:val="24"/>
          <w:szCs w:val="24"/>
        </w:rPr>
        <w:t xml:space="preserve">Zamawiającego </w:t>
      </w:r>
      <w:r>
        <w:rPr>
          <w:rFonts w:cs="Times New Roman" w:ascii="Times New Roman" w:hAnsi="Times New Roman"/>
          <w:sz w:val="24"/>
          <w:szCs w:val="24"/>
        </w:rPr>
        <w:t>odsetkami ustawowymi.</w:t>
      </w:r>
    </w:p>
    <w:p>
      <w:pPr>
        <w:pStyle w:val="ListParagraph"/>
        <w:numPr>
          <w:ilvl w:val="0"/>
          <w:numId w:val="5"/>
        </w:numPr>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 xml:space="preserve">O zmianach danych kont bankowych lub danych adresowych </w:t>
      </w:r>
      <w:r>
        <w:rPr>
          <w:rFonts w:cs="Times New Roman" w:ascii="Times New Roman" w:hAnsi="Times New Roman"/>
          <w:b/>
          <w:bCs/>
          <w:sz w:val="24"/>
          <w:szCs w:val="24"/>
        </w:rPr>
        <w:t>Strony</w:t>
      </w:r>
      <w:r>
        <w:rPr>
          <w:rFonts w:cs="Times New Roman" w:ascii="Times New Roman" w:hAnsi="Times New Roman"/>
          <w:sz w:val="24"/>
          <w:szCs w:val="24"/>
        </w:rPr>
        <w:t xml:space="preserve"> zobowiązują się wzajemnie powiadamiać, pod rygorem poniesienia kosztów związanych z mylnymi operacjami bankowymi.</w:t>
      </w:r>
    </w:p>
    <w:p>
      <w:pPr>
        <w:pStyle w:val="Normal"/>
        <w:spacing w:lineRule="auto" w:line="360"/>
        <w:jc w:val="center"/>
        <w:rPr>
          <w:rFonts w:ascii="Times New Roman" w:hAnsi="Times New Roman" w:cs="Times New Roman"/>
          <w:sz w:val="24"/>
          <w:szCs w:val="24"/>
        </w:rPr>
      </w:pPr>
      <w:r>
        <w:rPr>
          <w:rFonts w:cs="Times New Roman" w:ascii="Times New Roman" w:hAnsi="Times New Roman"/>
          <w:b/>
          <w:sz w:val="24"/>
          <w:szCs w:val="24"/>
        </w:rPr>
        <w:t>§ 8</w:t>
      </w:r>
    </w:p>
    <w:p>
      <w:pPr>
        <w:pStyle w:val="ListParagraph"/>
        <w:numPr>
          <w:ilvl w:val="0"/>
          <w:numId w:val="6"/>
        </w:numPr>
        <w:tabs>
          <w:tab w:val="clear" w:pos="708"/>
          <w:tab w:val="left" w:pos="567" w:leader="none"/>
        </w:tabs>
        <w:overflowPunct w:val="true"/>
        <w:spacing w:lineRule="auto" w:line="360"/>
        <w:jc w:val="left"/>
        <w:rPr>
          <w:rFonts w:ascii="Times New Roman" w:hAnsi="Times New Roman" w:cs="Times New Roman"/>
          <w:bCs/>
          <w:sz w:val="24"/>
          <w:szCs w:val="24"/>
        </w:rPr>
      </w:pPr>
      <w:r>
        <w:rPr>
          <w:rFonts w:cs="Times New Roman" w:ascii="Times New Roman" w:hAnsi="Times New Roman"/>
          <w:sz w:val="24"/>
          <w:szCs w:val="24"/>
        </w:rPr>
        <w:t>Wykonawcy przysługuje prawo złożenia do OSD wniosku o wstrzymanie dostarczania energii w przypadku, gdy Zamawiający zwleka z zapłatą za pobraną energię elektryczną, co najmniej 30 dni po upływie terminu płatności. Przed złożeniem wniosku Wykonawca zobowiązany jest powiadomić na piśmie Zamawiającego o zamiarze wstrzymania dostarczania energii elektrycznej, jeżeli odbiorca ten nie ureguluje zaległych i bieżących należności w okresie 14 dni od dnia otrzymania tego powiadomienia.</w:t>
      </w:r>
    </w:p>
    <w:p>
      <w:pPr>
        <w:pStyle w:val="ListParagraph"/>
        <w:numPr>
          <w:ilvl w:val="0"/>
          <w:numId w:val="6"/>
        </w:numPr>
        <w:tabs>
          <w:tab w:val="clear" w:pos="708"/>
          <w:tab w:val="left" w:pos="567" w:leader="none"/>
        </w:tabs>
        <w:overflowPunct w:val="true"/>
        <w:spacing w:lineRule="auto" w:line="360"/>
        <w:jc w:val="left"/>
        <w:rPr>
          <w:rFonts w:ascii="Times New Roman" w:hAnsi="Times New Roman" w:cs="Times New Roman"/>
          <w:bCs/>
          <w:sz w:val="24"/>
          <w:szCs w:val="24"/>
        </w:rPr>
      </w:pPr>
      <w:r>
        <w:rPr>
          <w:rFonts w:cs="Times New Roman" w:ascii="Times New Roman" w:hAnsi="Times New Roman"/>
          <w:bCs/>
          <w:sz w:val="24"/>
          <w:szCs w:val="24"/>
        </w:rPr>
        <w:t xml:space="preserve">Wstrzymanie sprzedaży energii elektrycznej następuje poprzez wstrzymanie dostarczania energii elektrycznej przez </w:t>
      </w:r>
      <w:r>
        <w:rPr>
          <w:rFonts w:cs="Times New Roman" w:ascii="Times New Roman" w:hAnsi="Times New Roman"/>
          <w:b/>
          <w:bCs/>
          <w:sz w:val="24"/>
          <w:szCs w:val="24"/>
        </w:rPr>
        <w:t>OSD</w:t>
      </w:r>
      <w:r>
        <w:rPr>
          <w:rFonts w:cs="Times New Roman" w:ascii="Times New Roman" w:hAnsi="Times New Roman"/>
          <w:bCs/>
          <w:sz w:val="24"/>
          <w:szCs w:val="24"/>
        </w:rPr>
        <w:t xml:space="preserve"> na wniosek </w:t>
      </w:r>
      <w:r>
        <w:rPr>
          <w:rFonts w:cs="Times New Roman" w:ascii="Times New Roman" w:hAnsi="Times New Roman"/>
          <w:b/>
          <w:bCs/>
          <w:sz w:val="24"/>
          <w:szCs w:val="24"/>
        </w:rPr>
        <w:t>Wykonawcy</w:t>
      </w:r>
      <w:r>
        <w:rPr>
          <w:rFonts w:cs="Times New Roman" w:ascii="Times New Roman" w:hAnsi="Times New Roman"/>
          <w:bCs/>
          <w:sz w:val="24"/>
          <w:szCs w:val="24"/>
        </w:rPr>
        <w:t xml:space="preserve">, po pisemnym powiadomieniu </w:t>
      </w:r>
      <w:r>
        <w:rPr>
          <w:rFonts w:cs="Times New Roman" w:ascii="Times New Roman" w:hAnsi="Times New Roman"/>
          <w:b/>
          <w:bCs/>
          <w:sz w:val="24"/>
          <w:szCs w:val="24"/>
        </w:rPr>
        <w:t>Zamawiającego.</w:t>
      </w:r>
    </w:p>
    <w:p>
      <w:pPr>
        <w:pStyle w:val="ListParagraph"/>
        <w:numPr>
          <w:ilvl w:val="0"/>
          <w:numId w:val="6"/>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bCs/>
          <w:sz w:val="24"/>
          <w:szCs w:val="24"/>
        </w:rPr>
        <w:t>Wstrzymanie sprzedaży energii dotyczyć będzie obiektu, na którym występuje zadłużenie.</w:t>
      </w:r>
    </w:p>
    <w:p>
      <w:pPr>
        <w:pStyle w:val="ListParagraph"/>
        <w:numPr>
          <w:ilvl w:val="0"/>
          <w:numId w:val="6"/>
        </w:numPr>
        <w:tabs>
          <w:tab w:val="clear" w:pos="708"/>
          <w:tab w:val="left" w:pos="567" w:leader="none"/>
        </w:tabs>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 xml:space="preserve">Wznowienie dostarczania energii elektrycznej i świadczenie usług dystrybucji przez </w:t>
      </w:r>
      <w:r>
        <w:rPr>
          <w:rFonts w:cs="Times New Roman" w:ascii="Times New Roman" w:hAnsi="Times New Roman"/>
          <w:b/>
          <w:bCs/>
          <w:sz w:val="24"/>
          <w:szCs w:val="24"/>
        </w:rPr>
        <w:t xml:space="preserve">OSD </w:t>
      </w:r>
      <w:r>
        <w:rPr>
          <w:rFonts w:cs="Times New Roman" w:ascii="Times New Roman" w:hAnsi="Times New Roman"/>
          <w:bCs/>
          <w:sz w:val="24"/>
          <w:szCs w:val="24"/>
        </w:rPr>
        <w:t xml:space="preserve">na wniosek </w:t>
      </w:r>
      <w:r>
        <w:rPr>
          <w:rFonts w:cs="Times New Roman" w:ascii="Times New Roman" w:hAnsi="Times New Roman"/>
          <w:b/>
          <w:bCs/>
          <w:sz w:val="24"/>
          <w:szCs w:val="24"/>
        </w:rPr>
        <w:t>Wykonawcy</w:t>
      </w:r>
      <w:r>
        <w:rPr>
          <w:rFonts w:cs="Times New Roman" w:ascii="Times New Roman" w:hAnsi="Times New Roman"/>
          <w:sz w:val="24"/>
          <w:szCs w:val="24"/>
        </w:rPr>
        <w:t xml:space="preserve"> może nastąpić po uregulowaniu zaległych należności za energię elektryczną oraz dodatkowych opłat związanych ze wznowieniem dostawy energii na rzecz </w:t>
      </w:r>
      <w:r>
        <w:rPr>
          <w:rFonts w:cs="Times New Roman" w:ascii="Times New Roman" w:hAnsi="Times New Roman"/>
          <w:b/>
          <w:sz w:val="24"/>
          <w:szCs w:val="24"/>
        </w:rPr>
        <w:t>OSD</w:t>
      </w:r>
      <w:r>
        <w:rPr>
          <w:rFonts w:cs="Times New Roman" w:ascii="Times New Roman" w:hAnsi="Times New Roman"/>
          <w:sz w:val="24"/>
          <w:szCs w:val="24"/>
        </w:rPr>
        <w:t xml:space="preserve"> wynikających z jego taryfy.</w:t>
      </w:r>
    </w:p>
    <w:p>
      <w:pPr>
        <w:pStyle w:val="Normal"/>
        <w:spacing w:lineRule="auto" w:line="360"/>
        <w:jc w:val="center"/>
        <w:rPr>
          <w:rFonts w:ascii="Times New Roman" w:hAnsi="Times New Roman" w:cs="Times New Roman"/>
          <w:bCs/>
          <w:iCs/>
          <w:sz w:val="24"/>
          <w:szCs w:val="24"/>
        </w:rPr>
      </w:pPr>
      <w:r>
        <w:rPr>
          <w:rFonts w:cs="Times New Roman" w:ascii="Times New Roman" w:hAnsi="Times New Roman"/>
          <w:b/>
          <w:sz w:val="24"/>
          <w:szCs w:val="24"/>
        </w:rPr>
        <w:t>§ 9</w:t>
      </w:r>
    </w:p>
    <w:p>
      <w:pPr>
        <w:pStyle w:val="ListParagraph"/>
        <w:numPr>
          <w:ilvl w:val="0"/>
          <w:numId w:val="8"/>
        </w:numPr>
        <w:overflowPunct w:val="true"/>
        <w:spacing w:lineRule="auto" w:line="360"/>
        <w:jc w:val="left"/>
        <w:rPr>
          <w:rFonts w:ascii="Times New Roman" w:hAnsi="Times New Roman" w:cs="Times New Roman"/>
          <w:b/>
          <w:b/>
          <w:sz w:val="24"/>
          <w:szCs w:val="24"/>
        </w:rPr>
      </w:pPr>
      <w:r>
        <w:rPr>
          <w:rFonts w:cs="Times New Roman" w:ascii="Times New Roman" w:hAnsi="Times New Roman"/>
          <w:bCs/>
          <w:iCs/>
          <w:sz w:val="24"/>
          <w:szCs w:val="24"/>
        </w:rPr>
        <w:t xml:space="preserve">Strony ustalają, że rozpoczęcie sprzedaży energii elektrycznej nastąpi </w:t>
      </w:r>
      <w:r>
        <w:rPr>
          <w:rFonts w:cs="Times New Roman" w:ascii="Times New Roman" w:hAnsi="Times New Roman"/>
          <w:sz w:val="24"/>
          <w:szCs w:val="24"/>
        </w:rPr>
        <w:t>po skutecznym rozwiązaniu umowy, na podstawie której dotychczas Zamawiający kupuje energię elektryczną oraz skutecznym przeprowadzeniu procedury zmiany Sprzedawcy u OSD.</w:t>
      </w:r>
    </w:p>
    <w:p>
      <w:pPr>
        <w:pStyle w:val="Normal"/>
        <w:spacing w:lineRule="auto" w:line="360"/>
        <w:jc w:val="center"/>
        <w:rPr>
          <w:rFonts w:ascii="Times New Roman" w:hAnsi="Times New Roman" w:cs="Times New Roman"/>
          <w:sz w:val="24"/>
          <w:szCs w:val="24"/>
        </w:rPr>
      </w:pPr>
      <w:r>
        <w:rPr>
          <w:rFonts w:cs="Times New Roman" w:ascii="Times New Roman" w:hAnsi="Times New Roman"/>
          <w:b/>
          <w:sz w:val="24"/>
          <w:szCs w:val="24"/>
        </w:rPr>
        <w:t>§ 10</w:t>
      </w:r>
    </w:p>
    <w:p>
      <w:pPr>
        <w:pStyle w:val="ListParagraph"/>
        <w:numPr>
          <w:ilvl w:val="0"/>
          <w:numId w:val="7"/>
        </w:numPr>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 xml:space="preserve">Rozwiązanie Umowy nie zwalnia </w:t>
      </w:r>
      <w:r>
        <w:rPr>
          <w:rFonts w:cs="Times New Roman" w:ascii="Times New Roman" w:hAnsi="Times New Roman"/>
          <w:b/>
          <w:sz w:val="24"/>
          <w:szCs w:val="24"/>
        </w:rPr>
        <w:t>Stron</w:t>
      </w:r>
      <w:r>
        <w:rPr>
          <w:rFonts w:cs="Times New Roman" w:ascii="Times New Roman" w:hAnsi="Times New Roman"/>
          <w:sz w:val="24"/>
          <w:szCs w:val="24"/>
        </w:rPr>
        <w:t xml:space="preserve"> z obowiązku uregulowania wobec drugiej </w:t>
      </w:r>
      <w:r>
        <w:rPr>
          <w:rFonts w:cs="Times New Roman" w:ascii="Times New Roman" w:hAnsi="Times New Roman"/>
          <w:b/>
          <w:sz w:val="24"/>
          <w:szCs w:val="24"/>
        </w:rPr>
        <w:t>Strony</w:t>
      </w:r>
      <w:r>
        <w:rPr>
          <w:rFonts w:cs="Times New Roman" w:ascii="Times New Roman" w:hAnsi="Times New Roman"/>
          <w:sz w:val="24"/>
          <w:szCs w:val="24"/>
        </w:rPr>
        <w:t xml:space="preserve"> wszelkich zobowiązań z niej wynikających.</w:t>
      </w:r>
    </w:p>
    <w:p>
      <w:pPr>
        <w:pStyle w:val="ListParagraph"/>
        <w:numPr>
          <w:ilvl w:val="0"/>
          <w:numId w:val="7"/>
        </w:numPr>
        <w:overflowPunct w:val="true"/>
        <w:spacing w:lineRule="auto" w:line="360"/>
        <w:jc w:val="left"/>
        <w:rPr>
          <w:rFonts w:ascii="Times New Roman" w:hAnsi="Times New Roman" w:cs="Times New Roman"/>
          <w:sz w:val="24"/>
          <w:szCs w:val="24"/>
        </w:rPr>
      </w:pPr>
      <w:r>
        <w:rPr>
          <w:rFonts w:cs="Times New Roman" w:ascii="Times New Roman" w:hAnsi="Times New Roman"/>
          <w:b/>
          <w:sz w:val="24"/>
          <w:szCs w:val="24"/>
        </w:rPr>
        <w:t>Strony</w:t>
      </w:r>
      <w:r>
        <w:rPr>
          <w:rFonts w:cs="Times New Roman" w:ascii="Times New Roman" w:hAnsi="Times New Roman"/>
          <w:sz w:val="24"/>
          <w:szCs w:val="24"/>
        </w:rPr>
        <w:t xml:space="preserve"> dopuszczają możliwość dokonania cesji praw i przejęcia obowiązków wynikających z niniejszej Umowy na inny podmiot w przypadku zmiany właściciela lub posiadacza obiektu, do którego dostarczana jest energia elektryczna na podstawie niniejszej Umowy. W takim przypadku cesja nastąpi zgodnie z przepisami Kodeksu Cywilnego.</w:t>
      </w:r>
    </w:p>
    <w:p>
      <w:pPr>
        <w:pStyle w:val="ListParagraph"/>
        <w:numPr>
          <w:ilvl w:val="0"/>
          <w:numId w:val="7"/>
        </w:numPr>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 xml:space="preserve">Umowa może być rozwiązana przez </w:t>
      </w:r>
      <w:r>
        <w:rPr>
          <w:rFonts w:cs="Times New Roman" w:ascii="Times New Roman" w:hAnsi="Times New Roman"/>
          <w:b/>
          <w:sz w:val="24"/>
          <w:szCs w:val="24"/>
        </w:rPr>
        <w:t xml:space="preserve">jedną ze Stron </w:t>
      </w:r>
      <w:r>
        <w:rPr>
          <w:rFonts w:cs="Times New Roman" w:ascii="Times New Roman" w:hAnsi="Times New Roman"/>
          <w:sz w:val="24"/>
          <w:szCs w:val="24"/>
        </w:rPr>
        <w:t xml:space="preserve">w trybie natychmiastowym </w:t>
        <w:br/>
        <w:t xml:space="preserve">w przypadku, gdy </w:t>
      </w:r>
      <w:r>
        <w:rPr>
          <w:rFonts w:cs="Times New Roman" w:ascii="Times New Roman" w:hAnsi="Times New Roman"/>
          <w:b/>
          <w:sz w:val="24"/>
          <w:szCs w:val="24"/>
        </w:rPr>
        <w:t xml:space="preserve">druga ze Stron, </w:t>
      </w:r>
      <w:r>
        <w:rPr>
          <w:rFonts w:cs="Times New Roman" w:ascii="Times New Roman" w:hAnsi="Times New Roman"/>
          <w:sz w:val="24"/>
          <w:szCs w:val="24"/>
        </w:rPr>
        <w:t>pomimo pisemnego wezwania i wyznaczenia dodatkowego 14 dniowego terminu do doprowadzenia do prawidłowego wykonywania Umowy nadal narusza warunki Umowy.</w:t>
      </w:r>
    </w:p>
    <w:p>
      <w:pPr>
        <w:pStyle w:val="ListParagraph"/>
        <w:numPr>
          <w:ilvl w:val="0"/>
          <w:numId w:val="7"/>
        </w:numPr>
        <w:overflowPunct w:val="true"/>
        <w:spacing w:lineRule="auto" w:line="360"/>
        <w:jc w:val="left"/>
        <w:rPr>
          <w:rFonts w:ascii="Times New Roman" w:hAnsi="Times New Roman" w:cs="Times New Roman"/>
          <w:sz w:val="24"/>
          <w:szCs w:val="24"/>
        </w:rPr>
      </w:pPr>
      <w:r>
        <w:rPr>
          <w:rFonts w:cs="Times New Roman" w:ascii="Times New Roman" w:hAnsi="Times New Roman"/>
          <w:b/>
          <w:sz w:val="24"/>
          <w:szCs w:val="24"/>
        </w:rPr>
        <w:t>Zamawiającemu</w:t>
      </w:r>
      <w:r>
        <w:rPr>
          <w:rFonts w:cs="Times New Roman" w:ascii="Times New Roman" w:hAnsi="Times New Roman"/>
          <w:sz w:val="24"/>
          <w:szCs w:val="24"/>
        </w:rPr>
        <w:t xml:space="preserve"> przysługuje prawo do odstąpienia od Umowy, gdy:</w:t>
      </w:r>
    </w:p>
    <w:p>
      <w:pPr>
        <w:pStyle w:val="ListParagraph"/>
        <w:numPr>
          <w:ilvl w:val="0"/>
          <w:numId w:val="14"/>
        </w:numPr>
        <w:spacing w:lineRule="auto" w:line="360"/>
        <w:ind w:left="284" w:right="0" w:hanging="284"/>
        <w:jc w:val="left"/>
        <w:rPr>
          <w:rFonts w:ascii="Times New Roman" w:hAnsi="Times New Roman" w:cs="Times New Roman"/>
          <w:sz w:val="24"/>
          <w:szCs w:val="24"/>
        </w:rPr>
      </w:pPr>
      <w:r>
        <w:rPr>
          <w:rFonts w:cs="Times New Roman" w:ascii="Times New Roman" w:hAnsi="Times New Roman"/>
          <w:sz w:val="24"/>
          <w:szCs w:val="24"/>
        </w:rPr>
        <w:t xml:space="preserve">wystąpi istotna zmiana okoliczności powodująca, że wykonanie Umowy nie leży w interesie publicznym, czego nie można było przewidzieć w chwili zawarcia Umowy, lub dalsze wykonywanie umowy może zagrozić podstawowemu interesowi bezpieczeństwa państwa lub bezpieczeństwu publicznemu - </w:t>
      </w:r>
      <w:r>
        <w:rPr>
          <w:rFonts w:cs="Times New Roman" w:ascii="Times New Roman" w:hAnsi="Times New Roman"/>
          <w:b/>
          <w:sz w:val="24"/>
          <w:szCs w:val="24"/>
        </w:rPr>
        <w:t>Zamawiający</w:t>
      </w:r>
      <w:r>
        <w:rPr>
          <w:rFonts w:cs="Times New Roman" w:ascii="Times New Roman" w:hAnsi="Times New Roman"/>
          <w:sz w:val="24"/>
          <w:szCs w:val="24"/>
        </w:rPr>
        <w:t xml:space="preserve"> może odstąpić od Umowy w terminie 30 dni od powzięcia wiadomości o powyższych okolicznościach. W takim wypadku </w:t>
      </w:r>
      <w:r>
        <w:rPr>
          <w:rFonts w:cs="Times New Roman" w:ascii="Times New Roman" w:hAnsi="Times New Roman"/>
          <w:b/>
          <w:sz w:val="24"/>
          <w:szCs w:val="24"/>
        </w:rPr>
        <w:t>Wykonawca</w:t>
      </w:r>
      <w:r>
        <w:rPr>
          <w:rFonts w:cs="Times New Roman" w:ascii="Times New Roman" w:hAnsi="Times New Roman"/>
          <w:sz w:val="24"/>
          <w:szCs w:val="24"/>
        </w:rPr>
        <w:t xml:space="preserve"> może żądać jedynie wynagrodzenia należnego za wykonanie części Umowy. </w:t>
      </w:r>
    </w:p>
    <w:p>
      <w:pPr>
        <w:pStyle w:val="ListParagraph"/>
        <w:numPr>
          <w:ilvl w:val="0"/>
          <w:numId w:val="14"/>
        </w:numPr>
        <w:spacing w:lineRule="auto" w:line="360"/>
        <w:ind w:left="284" w:right="0" w:hanging="284"/>
        <w:jc w:val="left"/>
        <w:rPr>
          <w:rFonts w:ascii="Times New Roman" w:hAnsi="Times New Roman" w:cs="Times New Roman"/>
          <w:sz w:val="24"/>
          <w:szCs w:val="24"/>
        </w:rPr>
      </w:pPr>
      <w:r>
        <w:rPr>
          <w:rFonts w:cs="Times New Roman" w:ascii="Times New Roman" w:hAnsi="Times New Roman"/>
          <w:sz w:val="24"/>
          <w:szCs w:val="24"/>
        </w:rPr>
        <w:t xml:space="preserve">w przypadku rażącego naruszenia przez </w:t>
      </w:r>
      <w:r>
        <w:rPr>
          <w:rFonts w:cs="Times New Roman" w:ascii="Times New Roman" w:hAnsi="Times New Roman"/>
          <w:b/>
          <w:sz w:val="24"/>
          <w:szCs w:val="24"/>
        </w:rPr>
        <w:t>Wykonawcę</w:t>
      </w:r>
      <w:r>
        <w:rPr>
          <w:rFonts w:cs="Times New Roman" w:ascii="Times New Roman" w:hAnsi="Times New Roman"/>
          <w:sz w:val="24"/>
          <w:szCs w:val="24"/>
        </w:rPr>
        <w:t xml:space="preserve"> obowiązków wynikających z Umowy, w tym wykonywania przedmiotu Umowy niezgodnie ze złożoną ofertą - </w:t>
      </w:r>
      <w:r>
        <w:rPr>
          <w:rFonts w:cs="Times New Roman" w:ascii="Times New Roman" w:hAnsi="Times New Roman"/>
          <w:b/>
          <w:sz w:val="24"/>
          <w:szCs w:val="24"/>
        </w:rPr>
        <w:t>Zamawiający</w:t>
      </w:r>
      <w:r>
        <w:rPr>
          <w:rFonts w:cs="Times New Roman" w:ascii="Times New Roman" w:hAnsi="Times New Roman"/>
          <w:sz w:val="24"/>
          <w:szCs w:val="24"/>
        </w:rPr>
        <w:t xml:space="preserve"> może odstąpić od Umowy w terminie 60 dni od powzięcia wiadomości o powyższych okolicznościach.</w:t>
      </w:r>
    </w:p>
    <w:p>
      <w:pPr>
        <w:pStyle w:val="ListParagraph"/>
        <w:numPr>
          <w:ilvl w:val="0"/>
          <w:numId w:val="7"/>
        </w:numPr>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W przypadku, gdy </w:t>
      </w:r>
      <w:r>
        <w:rPr>
          <w:rFonts w:cs="Times New Roman" w:ascii="Times New Roman" w:hAnsi="Times New Roman"/>
          <w:b/>
          <w:sz w:val="24"/>
          <w:szCs w:val="24"/>
        </w:rPr>
        <w:t>Wykonawca,</w:t>
      </w:r>
      <w:r>
        <w:rPr>
          <w:rFonts w:cs="Times New Roman" w:ascii="Times New Roman" w:hAnsi="Times New Roman"/>
          <w:sz w:val="24"/>
          <w:szCs w:val="24"/>
        </w:rPr>
        <w:t xml:space="preserve"> z przyczyn leżących po stronie </w:t>
      </w:r>
      <w:r>
        <w:rPr>
          <w:rFonts w:cs="Times New Roman" w:ascii="Times New Roman" w:hAnsi="Times New Roman"/>
          <w:b/>
          <w:sz w:val="24"/>
          <w:szCs w:val="24"/>
        </w:rPr>
        <w:t>Wykonawcy</w:t>
      </w:r>
      <w:r>
        <w:rPr>
          <w:rFonts w:cs="Times New Roman" w:ascii="Times New Roman" w:hAnsi="Times New Roman"/>
          <w:sz w:val="24"/>
          <w:szCs w:val="24"/>
        </w:rPr>
        <w:t xml:space="preserve">, zaprzestanie na stałe bądź tymczasowo, sprzedaży energii elektrycznej na rzecz </w:t>
      </w:r>
      <w:r>
        <w:rPr>
          <w:rFonts w:cs="Times New Roman" w:ascii="Times New Roman" w:hAnsi="Times New Roman"/>
          <w:b/>
          <w:sz w:val="24"/>
          <w:szCs w:val="24"/>
        </w:rPr>
        <w:t>Zamawiającego</w:t>
      </w:r>
      <w:r>
        <w:rPr>
          <w:rFonts w:cs="Times New Roman" w:ascii="Times New Roman" w:hAnsi="Times New Roman"/>
          <w:sz w:val="24"/>
          <w:szCs w:val="24"/>
        </w:rPr>
        <w:t xml:space="preserve">, skutkiem czego sprzedaż ta będzie realizowana przez tzw. </w:t>
      </w:r>
      <w:r>
        <w:rPr>
          <w:rFonts w:cs="Times New Roman" w:ascii="Times New Roman" w:hAnsi="Times New Roman"/>
          <w:i/>
          <w:sz w:val="24"/>
          <w:szCs w:val="24"/>
        </w:rPr>
        <w:t>sprzedawcę rezerwowego</w:t>
      </w:r>
      <w:r>
        <w:rPr>
          <w:rFonts w:cs="Times New Roman" w:ascii="Times New Roman" w:hAnsi="Times New Roman"/>
          <w:sz w:val="24"/>
          <w:szCs w:val="24"/>
        </w:rPr>
        <w:t>, o czym jest mowa w</w:t>
      </w:r>
      <w:r>
        <w:rPr>
          <w:rFonts w:cs="Times New Roman" w:ascii="Times New Roman" w:hAnsi="Times New Roman"/>
          <w:b/>
          <w:sz w:val="24"/>
          <w:szCs w:val="24"/>
        </w:rPr>
        <w:t xml:space="preserve"> </w:t>
      </w:r>
      <w:r>
        <w:rPr>
          <w:rFonts w:cs="Times New Roman" w:ascii="Times New Roman" w:hAnsi="Times New Roman"/>
          <w:sz w:val="24"/>
          <w:szCs w:val="24"/>
        </w:rPr>
        <w:t>art. 5aa ust.1 Prawa energetycznego</w:t>
      </w:r>
      <w:r>
        <w:rPr>
          <w:rFonts w:cs="Times New Roman" w:ascii="Times New Roman" w:hAnsi="Times New Roman"/>
          <w:b/>
          <w:sz w:val="24"/>
          <w:szCs w:val="24"/>
        </w:rPr>
        <w:t>, Wykonawca</w:t>
      </w:r>
      <w:r>
        <w:rPr>
          <w:rFonts w:cs="Times New Roman" w:ascii="Times New Roman" w:hAnsi="Times New Roman"/>
          <w:sz w:val="24"/>
          <w:szCs w:val="24"/>
        </w:rPr>
        <w:t xml:space="preserve"> będzie zobowiązany do naprawienia powstałej stąd szkody. Za powstałą w takiej sytuacji szkodę uważa się w szczególności różnicę w kosztach zakupu energii elektrycznej od tzw. </w:t>
      </w:r>
      <w:r>
        <w:rPr>
          <w:rFonts w:cs="Times New Roman" w:ascii="Times New Roman" w:hAnsi="Times New Roman"/>
          <w:i/>
          <w:sz w:val="24"/>
          <w:szCs w:val="24"/>
        </w:rPr>
        <w:t>sprzedawcy rezerwowego</w:t>
      </w:r>
      <w:r>
        <w:rPr>
          <w:rFonts w:cs="Times New Roman" w:ascii="Times New Roman" w:hAnsi="Times New Roman"/>
          <w:sz w:val="24"/>
          <w:szCs w:val="24"/>
        </w:rPr>
        <w:t xml:space="preserve">, w stosunku do kosztów, jakie powinny były zostać poniesione na podstawie niniejszej Umowy. Dotyczy to całego okresu realizacji sprzedaży energii elektrycznej przez tzw. </w:t>
      </w:r>
      <w:r>
        <w:rPr>
          <w:rFonts w:cs="Times New Roman" w:ascii="Times New Roman" w:hAnsi="Times New Roman"/>
          <w:i/>
          <w:sz w:val="24"/>
          <w:szCs w:val="24"/>
        </w:rPr>
        <w:t>sprzedawcę rezerwowego</w:t>
      </w:r>
      <w:r>
        <w:rPr>
          <w:rFonts w:cs="Times New Roman" w:ascii="Times New Roman" w:hAnsi="Times New Roman"/>
          <w:sz w:val="24"/>
          <w:szCs w:val="24"/>
        </w:rPr>
        <w:t xml:space="preserve">, z tym, że nie dłużej niż do chwili wznowienia sprzedaży przez </w:t>
      </w:r>
      <w:r>
        <w:rPr>
          <w:rFonts w:cs="Times New Roman" w:ascii="Times New Roman" w:hAnsi="Times New Roman"/>
          <w:b/>
          <w:sz w:val="24"/>
          <w:szCs w:val="24"/>
        </w:rPr>
        <w:t>Wykonawcę</w:t>
      </w:r>
      <w:r>
        <w:rPr>
          <w:rFonts w:cs="Times New Roman" w:ascii="Times New Roman" w:hAnsi="Times New Roman"/>
          <w:sz w:val="24"/>
          <w:szCs w:val="24"/>
        </w:rPr>
        <w:t xml:space="preserve"> bądź innego sprzedawcę energii elektrycznej wyłonionego w postępowaniu o udzielenie zamówienia publicznego, z tym, że nie dłużej niż do dnia, w którym miała zakończyć obowiązywanie niniejsza umowa, zgodnie z § 9 ust. 1. </w:t>
      </w:r>
    </w:p>
    <w:p>
      <w:pPr>
        <w:pStyle w:val="ListParagraph"/>
        <w:numPr>
          <w:ilvl w:val="0"/>
          <w:numId w:val="7"/>
        </w:numPr>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W przypadku, gdy </w:t>
      </w:r>
      <w:r>
        <w:rPr>
          <w:rFonts w:cs="Times New Roman" w:ascii="Times New Roman" w:hAnsi="Times New Roman"/>
          <w:b/>
          <w:sz w:val="24"/>
          <w:szCs w:val="24"/>
        </w:rPr>
        <w:t>Wykonawca,</w:t>
      </w:r>
      <w:r>
        <w:rPr>
          <w:rFonts w:cs="Times New Roman" w:ascii="Times New Roman" w:hAnsi="Times New Roman"/>
          <w:sz w:val="24"/>
          <w:szCs w:val="24"/>
        </w:rPr>
        <w:t xml:space="preserve"> z przyczyn leżących po stronie </w:t>
      </w:r>
      <w:r>
        <w:rPr>
          <w:rFonts w:cs="Times New Roman" w:ascii="Times New Roman" w:hAnsi="Times New Roman"/>
          <w:b/>
          <w:sz w:val="24"/>
          <w:szCs w:val="24"/>
        </w:rPr>
        <w:t>Wykonawcy</w:t>
      </w:r>
      <w:r>
        <w:rPr>
          <w:rFonts w:cs="Times New Roman" w:ascii="Times New Roman" w:hAnsi="Times New Roman"/>
          <w:sz w:val="24"/>
          <w:szCs w:val="24"/>
        </w:rPr>
        <w:t xml:space="preserve">, zaprzestanie na stałe, bądź tymczasowo, sprzedaży energii elektrycznej na rzecz </w:t>
      </w:r>
      <w:r>
        <w:rPr>
          <w:rFonts w:cs="Times New Roman" w:ascii="Times New Roman" w:hAnsi="Times New Roman"/>
          <w:b/>
          <w:sz w:val="24"/>
          <w:szCs w:val="24"/>
        </w:rPr>
        <w:t>Zamawiającego</w:t>
      </w:r>
      <w:r>
        <w:rPr>
          <w:rFonts w:cs="Times New Roman" w:ascii="Times New Roman" w:hAnsi="Times New Roman"/>
          <w:sz w:val="24"/>
          <w:szCs w:val="24"/>
        </w:rPr>
        <w:t xml:space="preserve">, skutkiem czego Zamawiający zmuszony będzie wyłonić innego Wykonawcę w postępowaniu o udzielenie zamówienia publicznego, a cena zaoferowana przez innego Wykonawcę będzie wyższa od ceny wskazanej w niniejszej umowie, </w:t>
      </w:r>
      <w:r>
        <w:rPr>
          <w:rFonts w:cs="Times New Roman" w:ascii="Times New Roman" w:hAnsi="Times New Roman"/>
          <w:b/>
          <w:sz w:val="24"/>
          <w:szCs w:val="24"/>
        </w:rPr>
        <w:t>Wykonawca</w:t>
      </w:r>
      <w:r>
        <w:rPr>
          <w:rFonts w:cs="Times New Roman" w:ascii="Times New Roman" w:hAnsi="Times New Roman"/>
          <w:sz w:val="24"/>
          <w:szCs w:val="24"/>
        </w:rPr>
        <w:t xml:space="preserve"> będzie zobowiązany do naprawienia powstałej stąd szkody wyliczonej jako różnica w kosztach zakupu energii elektrycznej od innego Wykonawcy w stosunku do kosztów, jakie powinny były zostać poniesione na podstawie niniejszej Umowy. Dotyczy to całego okresu realizacji sprzedaży energii elektrycznej przez innego Wykonawcę, z tym, że nie dłużej niż do dnia, w którym miała zakończyć obowiązywanie niniejsza umowa, zgodnie z § 9 ust. 1. </w:t>
      </w:r>
    </w:p>
    <w:p>
      <w:pPr>
        <w:pStyle w:val="ListParagraph"/>
        <w:numPr>
          <w:ilvl w:val="0"/>
          <w:numId w:val="7"/>
        </w:numPr>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W sytuacji, gdy </w:t>
      </w:r>
      <w:r>
        <w:rPr>
          <w:rFonts w:cs="Times New Roman" w:ascii="Times New Roman" w:hAnsi="Times New Roman"/>
          <w:b/>
          <w:sz w:val="24"/>
          <w:szCs w:val="24"/>
        </w:rPr>
        <w:t>Wykonawca</w:t>
      </w:r>
      <w:r>
        <w:rPr>
          <w:rFonts w:cs="Times New Roman" w:ascii="Times New Roman" w:hAnsi="Times New Roman"/>
          <w:sz w:val="24"/>
          <w:szCs w:val="24"/>
        </w:rPr>
        <w:t xml:space="preserve"> zaprzestanie tymczasowo sprzedaży energii elektrycznej na rzecz </w:t>
      </w:r>
      <w:r>
        <w:rPr>
          <w:rFonts w:cs="Times New Roman" w:ascii="Times New Roman" w:hAnsi="Times New Roman"/>
          <w:b/>
          <w:sz w:val="24"/>
          <w:szCs w:val="24"/>
        </w:rPr>
        <w:t>Zamawiająceg</w:t>
      </w:r>
      <w:r>
        <w:rPr>
          <w:rFonts w:cs="Times New Roman" w:ascii="Times New Roman" w:hAnsi="Times New Roman"/>
          <w:sz w:val="24"/>
          <w:szCs w:val="24"/>
        </w:rPr>
        <w:t xml:space="preserve">o i nie wznowi sprzedaży energii elektrycznej w przeciągu 1 miesiąca, to w takim przypadku stosuje się odpowiednio ust. 4 lit. b) powyżej, z tym, że </w:t>
      </w:r>
      <w:r>
        <w:rPr>
          <w:rFonts w:cs="Times New Roman" w:ascii="Times New Roman" w:hAnsi="Times New Roman"/>
          <w:b/>
          <w:sz w:val="24"/>
          <w:szCs w:val="24"/>
        </w:rPr>
        <w:t>Zamawiający</w:t>
      </w:r>
      <w:r>
        <w:rPr>
          <w:rFonts w:cs="Times New Roman" w:ascii="Times New Roman" w:hAnsi="Times New Roman"/>
          <w:sz w:val="24"/>
          <w:szCs w:val="24"/>
        </w:rPr>
        <w:t xml:space="preserve"> zachowuje swoje roszczenie o naprawienie szkody, o którym mowa w ust. 5 i 6 powyżej.</w:t>
      </w:r>
    </w:p>
    <w:p>
      <w:pPr>
        <w:pStyle w:val="ListParagraph"/>
        <w:numPr>
          <w:ilvl w:val="0"/>
          <w:numId w:val="7"/>
        </w:numPr>
        <w:spacing w:lineRule="auto" w:line="360"/>
        <w:jc w:val="left"/>
        <w:rPr>
          <w:rFonts w:ascii="Times New Roman" w:hAnsi="Times New Roman" w:cs="Times New Roman"/>
          <w:b/>
          <w:b/>
          <w:sz w:val="24"/>
          <w:szCs w:val="24"/>
        </w:rPr>
      </w:pPr>
      <w:r>
        <w:rPr>
          <w:rFonts w:cs="Times New Roman" w:ascii="Times New Roman" w:hAnsi="Times New Roman"/>
          <w:sz w:val="24"/>
          <w:szCs w:val="24"/>
        </w:rPr>
        <w:t>Rozwiązanie oraz odstąpienie od Umowy, o których mowa w niniejszym paragrafie, powinno nastąpić w formie pisemnej pod rygorem nieważności takiego oświadczenia.</w:t>
      </w:r>
    </w:p>
    <w:p>
      <w:pPr>
        <w:pStyle w:val="Normal"/>
        <w:keepNext w:val="true"/>
        <w:spacing w:lineRule="auto" w:line="360"/>
        <w:jc w:val="center"/>
        <w:rPr>
          <w:rFonts w:ascii="Times New Roman" w:hAnsi="Times New Roman" w:cs="Times New Roman"/>
          <w:sz w:val="24"/>
          <w:szCs w:val="24"/>
        </w:rPr>
      </w:pPr>
      <w:r>
        <w:rPr>
          <w:rFonts w:cs="Times New Roman" w:ascii="Times New Roman" w:hAnsi="Times New Roman"/>
          <w:b/>
          <w:sz w:val="24"/>
          <w:szCs w:val="24"/>
        </w:rPr>
        <w:t>§ 11</w:t>
      </w:r>
    </w:p>
    <w:p>
      <w:pPr>
        <w:pStyle w:val="ListParagraph"/>
        <w:numPr>
          <w:ilvl w:val="0"/>
          <w:numId w:val="9"/>
        </w:numPr>
        <w:tabs>
          <w:tab w:val="clear" w:pos="708"/>
          <w:tab w:val="left" w:pos="567" w:leader="none"/>
        </w:tabs>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 xml:space="preserve">Wykonawca zobowiązuje się do pozyskania we własnym zakresie od właściwego OSD wszelkich danych niezbędnych do skutecznego przeprowadzenia zmiany sprzedawcy energii elektrycznej. </w:t>
      </w:r>
    </w:p>
    <w:p>
      <w:pPr>
        <w:pStyle w:val="ListParagraph"/>
        <w:numPr>
          <w:ilvl w:val="0"/>
          <w:numId w:val="9"/>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b/>
          <w:sz w:val="24"/>
          <w:szCs w:val="24"/>
        </w:rPr>
        <w:t>Wykonawca</w:t>
      </w:r>
      <w:r>
        <w:rPr>
          <w:rFonts w:cs="Times New Roman" w:ascii="Times New Roman" w:hAnsi="Times New Roman"/>
          <w:sz w:val="24"/>
          <w:szCs w:val="24"/>
        </w:rPr>
        <w:t xml:space="preserve"> zobowiązuje się do zgłoszenia, względnie do złożenia pisemnego wniosku do właściwego </w:t>
      </w:r>
      <w:r>
        <w:rPr>
          <w:rFonts w:cs="Times New Roman" w:ascii="Times New Roman" w:hAnsi="Times New Roman"/>
          <w:b/>
          <w:sz w:val="24"/>
          <w:szCs w:val="24"/>
        </w:rPr>
        <w:t>OSD</w:t>
      </w:r>
      <w:r>
        <w:rPr>
          <w:rFonts w:cs="Times New Roman" w:ascii="Times New Roman" w:hAnsi="Times New Roman"/>
          <w:sz w:val="24"/>
          <w:szCs w:val="24"/>
        </w:rPr>
        <w:t xml:space="preserve"> o zmianę grup taryfowych dla poszczególnych obiektów </w:t>
      </w:r>
      <w:r>
        <w:rPr>
          <w:rFonts w:cs="Times New Roman" w:ascii="Times New Roman" w:hAnsi="Times New Roman"/>
          <w:b/>
          <w:sz w:val="24"/>
          <w:szCs w:val="24"/>
        </w:rPr>
        <w:t>Zamawiającego,</w:t>
      </w:r>
      <w:r>
        <w:rPr>
          <w:rFonts w:cs="Times New Roman" w:ascii="Times New Roman" w:hAnsi="Times New Roman"/>
          <w:sz w:val="24"/>
          <w:szCs w:val="24"/>
        </w:rPr>
        <w:t xml:space="preserve"> zgodnie z załączonym do niniejszej Umowy pełnomocnictwem,</w:t>
      </w:r>
      <w:r>
        <w:rPr>
          <w:rFonts w:cs="Times New Roman" w:ascii="Times New Roman" w:hAnsi="Times New Roman"/>
          <w:iCs/>
          <w:sz w:val="24"/>
          <w:szCs w:val="24"/>
        </w:rPr>
        <w:t xml:space="preserve"> dla których zostały spełnione techniczne warunki, aby taką zmianę można było zastosować.</w:t>
      </w:r>
    </w:p>
    <w:p>
      <w:pPr>
        <w:pStyle w:val="ListParagraph"/>
        <w:numPr>
          <w:ilvl w:val="0"/>
          <w:numId w:val="9"/>
        </w:numPr>
        <w:tabs>
          <w:tab w:val="clear" w:pos="708"/>
          <w:tab w:val="left" w:pos="567" w:leader="none"/>
        </w:tabs>
        <w:overflowPunct w:val="true"/>
        <w:spacing w:lineRule="auto" w:line="360"/>
        <w:jc w:val="left"/>
        <w:rPr>
          <w:rFonts w:ascii="Times New Roman" w:hAnsi="Times New Roman" w:cs="Times New Roman"/>
          <w:b/>
          <w:b/>
          <w:sz w:val="24"/>
          <w:szCs w:val="24"/>
        </w:rPr>
      </w:pPr>
      <w:r>
        <w:rPr>
          <w:rFonts w:cs="Times New Roman" w:ascii="Times New Roman" w:hAnsi="Times New Roman"/>
          <w:sz w:val="24"/>
          <w:szCs w:val="24"/>
        </w:rPr>
        <w:t xml:space="preserve">Wraz z zawarciem niniejszej Umowy, </w:t>
      </w:r>
      <w:r>
        <w:rPr>
          <w:rFonts w:cs="Times New Roman" w:ascii="Times New Roman" w:hAnsi="Times New Roman"/>
          <w:b/>
          <w:sz w:val="24"/>
          <w:szCs w:val="24"/>
        </w:rPr>
        <w:t>Zamawiający</w:t>
      </w:r>
      <w:r>
        <w:rPr>
          <w:rFonts w:cs="Times New Roman" w:ascii="Times New Roman" w:hAnsi="Times New Roman"/>
          <w:sz w:val="24"/>
          <w:szCs w:val="24"/>
        </w:rPr>
        <w:t xml:space="preserve"> udziela </w:t>
      </w:r>
      <w:r>
        <w:rPr>
          <w:rFonts w:cs="Times New Roman" w:ascii="Times New Roman" w:hAnsi="Times New Roman"/>
          <w:b/>
          <w:sz w:val="24"/>
          <w:szCs w:val="24"/>
        </w:rPr>
        <w:t>Wykonawcy</w:t>
      </w:r>
      <w:r>
        <w:rPr>
          <w:rFonts w:cs="Times New Roman" w:ascii="Times New Roman" w:hAnsi="Times New Roman"/>
          <w:sz w:val="24"/>
          <w:szCs w:val="24"/>
        </w:rPr>
        <w:t xml:space="preserve"> pełnomocnictwa szczegółowego, pozwalającego na podjęcie czynności wskazanych w ust. 1 - 3 powyżej, stanowiącego załącznik nr 1 do niniejszej Umowy.</w:t>
      </w:r>
    </w:p>
    <w:p>
      <w:pPr>
        <w:pStyle w:val="ListParagraph"/>
        <w:numPr>
          <w:ilvl w:val="0"/>
          <w:numId w:val="9"/>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b/>
          <w:sz w:val="24"/>
          <w:szCs w:val="24"/>
        </w:rPr>
        <w:t>Wykonawca</w:t>
      </w:r>
      <w:r>
        <w:rPr>
          <w:rFonts w:cs="Times New Roman" w:ascii="Times New Roman" w:hAnsi="Times New Roman"/>
          <w:sz w:val="24"/>
          <w:szCs w:val="24"/>
        </w:rPr>
        <w:t xml:space="preserve"> nie może zbywać na rzecz osób trzecich wierzytelności powstałych w wyniku realizacji niniejszej Umowy.</w:t>
      </w:r>
    </w:p>
    <w:p>
      <w:pPr>
        <w:pStyle w:val="ListParagraph"/>
        <w:numPr>
          <w:ilvl w:val="0"/>
          <w:numId w:val="9"/>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W zakresie nieuregulowanym niniejszą Umową stosuje się Kodeks Cywilny, Prawo energetyczne wraz z aktami wykonawczymi.</w:t>
      </w:r>
    </w:p>
    <w:p>
      <w:pPr>
        <w:pStyle w:val="ListParagraph"/>
        <w:numPr>
          <w:ilvl w:val="0"/>
          <w:numId w:val="9"/>
        </w:numPr>
        <w:tabs>
          <w:tab w:val="clear" w:pos="708"/>
          <w:tab w:val="left" w:pos="567" w:leader="none"/>
        </w:tabs>
        <w:overflowPunct w:val="true"/>
        <w:spacing w:lineRule="auto" w:line="360"/>
        <w:jc w:val="left"/>
        <w:rPr>
          <w:rFonts w:ascii="Times New Roman" w:hAnsi="Times New Roman" w:cs="Times New Roman"/>
          <w:sz w:val="24"/>
          <w:szCs w:val="24"/>
        </w:rPr>
      </w:pPr>
      <w:r>
        <w:rPr>
          <w:rFonts w:cs="Times New Roman" w:ascii="Times New Roman" w:hAnsi="Times New Roman"/>
          <w:sz w:val="24"/>
          <w:szCs w:val="24"/>
        </w:rPr>
        <w:t>Zmiana postanowień Umowy możliwa jest w razie zaistnienia jednej z następujących okoliczności i w zakresie określonym poniżej:</w:t>
      </w:r>
    </w:p>
    <w:p>
      <w:pPr>
        <w:pStyle w:val="ListParagraph"/>
        <w:numPr>
          <w:ilvl w:val="0"/>
          <w:numId w:val="10"/>
        </w:numPr>
        <w:tabs>
          <w:tab w:val="clear" w:pos="708"/>
          <w:tab w:val="left" w:pos="284" w:leader="none"/>
        </w:tabs>
        <w:overflowPunct w:val="true"/>
        <w:spacing w:lineRule="auto" w:line="360" w:before="0" w:after="0"/>
        <w:ind w:left="284" w:right="0" w:hanging="284"/>
        <w:jc w:val="left"/>
        <w:rPr>
          <w:rFonts w:ascii="Times New Roman" w:hAnsi="Times New Roman" w:cs="Times New Roman"/>
          <w:sz w:val="24"/>
          <w:szCs w:val="24"/>
        </w:rPr>
      </w:pPr>
      <w:r>
        <w:rPr>
          <w:rFonts w:cs="Times New Roman" w:ascii="Times New Roman" w:hAnsi="Times New Roman"/>
          <w:sz w:val="24"/>
          <w:szCs w:val="24"/>
        </w:rPr>
        <w:t>wystąpi zmiana będąca następstwem siły wyższej – rozumianej jako wydarzenie lub okoliczność o charakterze nadzwyczajnym, na którą Wykonawca i Zamawiający nie mają wpływu; wystąpieniu której Wykonawca ani Zamawiający, działając racjonalnie, nie mogli zapobiec przed zawarciem Umowy; której w przypadku jej wystąpienia, Wykonawca ani Zamawiający, nie mogli uniknąć lub jej przezwyciężyć; oraz która nie może być zasadniczo przypisana Wykonawcy ani Zamawiającemu – w takim przypadku dopuszcza się odpowiednią zmianę zakresu, sposobu lub terminu realizacji Umowy, stosownie do okoliczności wywołanych siłą wyższą;</w:t>
      </w:r>
    </w:p>
    <w:p>
      <w:pPr>
        <w:pStyle w:val="ListParagraph"/>
        <w:numPr>
          <w:ilvl w:val="0"/>
          <w:numId w:val="10"/>
        </w:numPr>
        <w:tabs>
          <w:tab w:val="clear" w:pos="708"/>
          <w:tab w:val="left" w:pos="284" w:leader="none"/>
        </w:tabs>
        <w:overflowPunct w:val="true"/>
        <w:spacing w:lineRule="auto" w:line="360" w:before="0" w:after="0"/>
        <w:ind w:left="284" w:right="0" w:hanging="284"/>
        <w:jc w:val="left"/>
        <w:rPr>
          <w:rFonts w:ascii="Times New Roman" w:hAnsi="Times New Roman" w:cs="Times New Roman"/>
          <w:sz w:val="24"/>
          <w:szCs w:val="24"/>
        </w:rPr>
      </w:pPr>
      <w:r>
        <w:rPr>
          <w:rFonts w:cs="Times New Roman" w:ascii="Times New Roman" w:hAnsi="Times New Roman"/>
          <w:sz w:val="24"/>
          <w:szCs w:val="24"/>
        </w:rPr>
        <w:t>przypadku zaprzestania dostarczania energii elektrycznej przez Wykonawcę wybranego przez Zamawiającego, powodujące konieczność zmiany sprzedawcy energii elektrycznej na sprzedawcę rezerwowego;</w:t>
      </w:r>
    </w:p>
    <w:p>
      <w:pPr>
        <w:pStyle w:val="ListParagraph"/>
        <w:numPr>
          <w:ilvl w:val="0"/>
          <w:numId w:val="10"/>
        </w:numPr>
        <w:tabs>
          <w:tab w:val="clear" w:pos="708"/>
          <w:tab w:val="left" w:pos="284" w:leader="none"/>
        </w:tabs>
        <w:overflowPunct w:val="true"/>
        <w:spacing w:lineRule="auto" w:line="360" w:before="0" w:after="0"/>
        <w:ind w:left="284" w:right="0" w:hanging="284"/>
        <w:jc w:val="left"/>
        <w:rPr>
          <w:rFonts w:ascii="Times New Roman" w:hAnsi="Times New Roman" w:cs="Times New Roman"/>
          <w:sz w:val="24"/>
          <w:szCs w:val="24"/>
        </w:rPr>
      </w:pPr>
      <w:bookmarkStart w:id="5" w:name="_Hlk125615525"/>
      <w:r>
        <w:rPr>
          <w:rFonts w:cs="Times New Roman" w:ascii="Times New Roman" w:hAnsi="Times New Roman"/>
          <w:sz w:val="24"/>
          <w:szCs w:val="24"/>
        </w:rPr>
        <w:t>zmiany jednostkowej ceny netto za 1 MWh o kwotę wynikającą ze zmiany stawki opodatkowania podatkiem akcyzowym w stosunku do stawki obowiązującej w czasie składania oferty; warunkiem wprowadzenia zmiany jest ustawowa zmiana opodatkowania energii podatkiem akcyzowym; w takim przypadku Wykonawca poinformuje Zamawiającego o tym fakcie, przed upływem końca okresu rozliczeniowego, w którym zmiana wchodzi  w życie, pisemną korespondencją zawierającą uzasadnienie i szczegółowy sposób wyliczenia nowych cen jednostkowych, zmiana umowy w tym zakresie nie wymaga sporządzenia aneksu do umowy;</w:t>
      </w:r>
    </w:p>
    <w:p>
      <w:pPr>
        <w:pStyle w:val="ListParagraph"/>
        <w:numPr>
          <w:ilvl w:val="0"/>
          <w:numId w:val="10"/>
        </w:numPr>
        <w:tabs>
          <w:tab w:val="clear" w:pos="708"/>
          <w:tab w:val="left" w:pos="284" w:leader="none"/>
        </w:tabs>
        <w:overflowPunct w:val="true"/>
        <w:spacing w:lineRule="auto" w:line="360" w:before="0" w:after="0"/>
        <w:ind w:left="284" w:right="0" w:hanging="284"/>
        <w:jc w:val="left"/>
        <w:rPr>
          <w:rFonts w:ascii="Times New Roman" w:hAnsi="Times New Roman" w:eastAsia="SimSun; 宋体" w:cs="Times New Roman"/>
          <w:sz w:val="24"/>
          <w:szCs w:val="24"/>
        </w:rPr>
      </w:pPr>
      <w:bookmarkStart w:id="6" w:name="_Hlk125615525"/>
      <w:r>
        <w:rPr>
          <w:rFonts w:cs="Times New Roman" w:ascii="Times New Roman" w:hAnsi="Times New Roman"/>
          <w:sz w:val="24"/>
          <w:szCs w:val="24"/>
        </w:rPr>
        <w:t xml:space="preserve">zmiany stawki podatku od towarów i usług VAT dla energii elektrycznej w stosunku do stawki zawartej w ofercie; warunkiem wprowadzenia zmian jest ustawowa zmiana stawki podatku od towarów i usług; w takim przypadku Wykonawca poinformuje Zamawiającego o tym fakcie, przed upływem końca okresu rozliczeniowego, w którym zmiana wchodzi </w:t>
        <w:br/>
        <w:t xml:space="preserve">w życie, pisemną korespondencją zawierającą uzasadnienie, wysokość nowych stawek </w:t>
        <w:br/>
        <w:t>i sposób naliczania nowych wartości VAT, zmiana umowy w tym zakresie nie wymaga sporządzenia aneksu do umowy;</w:t>
      </w:r>
      <w:bookmarkEnd w:id="6"/>
    </w:p>
    <w:p>
      <w:pPr>
        <w:pStyle w:val="ListParagraph"/>
        <w:numPr>
          <w:ilvl w:val="0"/>
          <w:numId w:val="10"/>
        </w:numPr>
        <w:tabs>
          <w:tab w:val="clear" w:pos="708"/>
          <w:tab w:val="left" w:pos="284" w:leader="none"/>
        </w:tabs>
        <w:overflowPunct w:val="true"/>
        <w:spacing w:lineRule="auto" w:line="360" w:before="0" w:after="0"/>
        <w:ind w:left="284" w:right="0" w:hanging="284"/>
        <w:jc w:val="left"/>
        <w:rPr>
          <w:rFonts w:ascii="Times New Roman" w:hAnsi="Times New Roman" w:cs="Times New Roman"/>
          <w:sz w:val="24"/>
          <w:szCs w:val="24"/>
        </w:rPr>
      </w:pPr>
      <w:r>
        <w:rPr>
          <w:rFonts w:eastAsia="SimSun; 宋体" w:cs="Times New Roman" w:ascii="Times New Roman" w:hAnsi="Times New Roman"/>
          <w:sz w:val="24"/>
          <w:szCs w:val="24"/>
        </w:rPr>
        <w:t>zmiany w przypadku interwencji Państwa lub UE na podstawie wprowadzonych przepisów prawa, mających wpływ na obniżenie kosztów realizacji przedmiotowej umowy,                                       w szczególności zmiana ceny energii elektrycznej.</w:t>
      </w:r>
      <w:r>
        <w:rPr>
          <w:rFonts w:cs="Times New Roman" w:ascii="Times New Roman" w:hAnsi="Times New Roman"/>
          <w:sz w:val="24"/>
          <w:szCs w:val="24"/>
        </w:rPr>
        <w:t xml:space="preserve"> </w:t>
      </w:r>
      <w:r>
        <w:rPr>
          <w:rFonts w:eastAsia="SimSun; 宋体" w:cs="Times New Roman" w:ascii="Times New Roman" w:hAnsi="Times New Roman"/>
          <w:sz w:val="24"/>
          <w:szCs w:val="24"/>
        </w:rPr>
        <w:t xml:space="preserve">Zmiana następi automatycznie </w:t>
        <w:br/>
        <w:t xml:space="preserve">z dniem wejścia w życie zmienionych przepisów, nie wymaga oświadczenia woli Zamawiającego ani zawarcia aneksu do umowy, z zastrzeżeniem wymogów ustawowych </w:t>
        <w:br/>
        <w:t>w zakresie składania dokumentów. Zmiana będzie miała wpływ na wartość umowy,</w:t>
      </w:r>
    </w:p>
    <w:p>
      <w:pPr>
        <w:pStyle w:val="ListParagraph"/>
        <w:numPr>
          <w:ilvl w:val="0"/>
          <w:numId w:val="9"/>
        </w:numPr>
        <w:overflowPunct w:val="true"/>
        <w:spacing w:lineRule="auto" w:line="360" w:before="0" w:after="0"/>
        <w:jc w:val="left"/>
        <w:rPr>
          <w:rFonts w:ascii="Times New Roman" w:hAnsi="Times New Roman" w:cs="Times New Roman"/>
          <w:sz w:val="24"/>
          <w:szCs w:val="24"/>
        </w:rPr>
      </w:pPr>
      <w:r>
        <w:rPr>
          <w:rFonts w:cs="Times New Roman" w:ascii="Times New Roman" w:hAnsi="Times New Roman"/>
          <w:sz w:val="24"/>
          <w:szCs w:val="24"/>
        </w:rPr>
        <w:t>Zmiany Umowy wymagają zgody obu stron wyrażonej w formie pisemnej tj. w formie aneksu do niniejszej Umowy, pod rygorem nieważności. Warunki wprowadzenia zmiany do Umowy:</w:t>
      </w:r>
    </w:p>
    <w:p>
      <w:pPr>
        <w:pStyle w:val="ListParagraph"/>
        <w:numPr>
          <w:ilvl w:val="0"/>
          <w:numId w:val="15"/>
        </w:numPr>
        <w:overflowPunct w:val="true"/>
        <w:spacing w:lineRule="auto" w:line="360" w:before="0" w:after="0"/>
        <w:ind w:left="284" w:right="0" w:hanging="284"/>
        <w:jc w:val="left"/>
        <w:rPr>
          <w:rFonts w:ascii="Times New Roman" w:hAnsi="Times New Roman" w:cs="Times New Roman"/>
          <w:sz w:val="24"/>
          <w:szCs w:val="24"/>
        </w:rPr>
      </w:pPr>
      <w:r>
        <w:rPr>
          <w:rFonts w:cs="Times New Roman" w:ascii="Times New Roman" w:hAnsi="Times New Roman"/>
          <w:sz w:val="24"/>
          <w:szCs w:val="24"/>
        </w:rPr>
        <w:t>strona występująca o zmianę postanowień Umowy zobowiązana jest do udokumentowania zaistnienia okoliczności, o których mowa powyżej;</w:t>
      </w:r>
    </w:p>
    <w:p>
      <w:pPr>
        <w:pStyle w:val="ListParagraph"/>
        <w:numPr>
          <w:ilvl w:val="0"/>
          <w:numId w:val="15"/>
        </w:numPr>
        <w:overflowPunct w:val="true"/>
        <w:spacing w:lineRule="auto" w:line="360" w:before="0" w:after="0"/>
        <w:ind w:left="284" w:right="0" w:hanging="284"/>
        <w:jc w:val="left"/>
        <w:rPr>
          <w:rFonts w:ascii="Times New Roman" w:hAnsi="Times New Roman" w:cs="Times New Roman"/>
          <w:sz w:val="24"/>
          <w:szCs w:val="24"/>
        </w:rPr>
      </w:pPr>
      <w:r>
        <w:rPr>
          <w:rFonts w:cs="Times New Roman" w:ascii="Times New Roman" w:hAnsi="Times New Roman"/>
          <w:sz w:val="24"/>
          <w:szCs w:val="24"/>
        </w:rPr>
        <w:t>wniosek o zmianę postanowień Umowy musi być wyrażony na piśmie;</w:t>
      </w:r>
    </w:p>
    <w:p>
      <w:pPr>
        <w:pStyle w:val="ListParagraph"/>
        <w:numPr>
          <w:ilvl w:val="0"/>
          <w:numId w:val="15"/>
        </w:numPr>
        <w:overflowPunct w:val="true"/>
        <w:spacing w:lineRule="auto" w:line="360" w:before="0" w:after="0"/>
        <w:ind w:left="284" w:right="0" w:hanging="284"/>
        <w:jc w:val="left"/>
        <w:rPr>
          <w:rFonts w:ascii="Times New Roman" w:hAnsi="Times New Roman" w:cs="Times New Roman"/>
          <w:sz w:val="24"/>
          <w:szCs w:val="24"/>
        </w:rPr>
      </w:pPr>
      <w:r>
        <w:rPr>
          <w:rFonts w:cs="Times New Roman" w:ascii="Times New Roman" w:hAnsi="Times New Roman"/>
          <w:sz w:val="24"/>
          <w:szCs w:val="24"/>
        </w:rPr>
        <w:t xml:space="preserve">złożony przez stronę wniosek o zmianę musi zawierać: opis propozycji zmiany (treści zapisów umownych), uzasadnienie zmiany wraz z udokumentowaniem okoliczności stanowiących podstawę zmiany Umowy, opis wpływu zmiany na warunki realizacji Umowy. Po otrzymaniu propozycji, druga Strona w terminie 7 dni roboczych zatwierdzi bądź odrzuci otrzymaną propozycję zmiany lub w tym terminie wystąpi do Strony występującej z propozycją zmian, przesyłając zmodyfikowaną propozycje zmian.  </w:t>
      </w:r>
    </w:p>
    <w:p>
      <w:pPr>
        <w:pStyle w:val="Normal"/>
        <w:tabs>
          <w:tab w:val="clear" w:pos="708"/>
          <w:tab w:val="left" w:pos="709" w:leader="none"/>
        </w:tabs>
        <w:overflowPunct w:val="true"/>
        <w:spacing w:lineRule="auto" w:line="360"/>
        <w:ind w:left="284" w:right="0" w:hanging="0"/>
        <w:jc w:val="left"/>
        <w:rPr>
          <w:rFonts w:ascii="Times New Roman" w:hAnsi="Times New Roman" w:cs="Times New Roman"/>
          <w:sz w:val="24"/>
          <w:szCs w:val="24"/>
        </w:rPr>
      </w:pPr>
      <w:r>
        <w:rPr>
          <w:rFonts w:cs="Times New Roman" w:ascii="Times New Roman" w:hAnsi="Times New Roman"/>
          <w:sz w:val="24"/>
          <w:szCs w:val="24"/>
        </w:rPr>
        <w:t>W przypadku bezskutecznego upływu terminu podanego wyżej, traktuje się, iż propozycja wprowadzenia zmian została odrzucona. Strona dokonująca odrzucenia, zobowiązana jest do udzielenia informacji drugiej stronie w ciągu 14 dni o powodach odrzucenia.</w:t>
      </w:r>
    </w:p>
    <w:p>
      <w:pPr>
        <w:pStyle w:val="Normal"/>
        <w:tabs>
          <w:tab w:val="clear" w:pos="708"/>
          <w:tab w:val="left" w:pos="709" w:leader="none"/>
        </w:tabs>
        <w:overflowPunct w:val="true"/>
        <w:spacing w:lineRule="auto" w:line="360"/>
        <w:ind w:left="284" w:right="0" w:hanging="0"/>
        <w:jc w:val="left"/>
        <w:rPr>
          <w:rFonts w:ascii="Times New Roman" w:hAnsi="Times New Roman" w:cs="Times New Roman"/>
          <w:sz w:val="24"/>
          <w:szCs w:val="24"/>
        </w:rPr>
      </w:pPr>
      <w:r>
        <w:rPr>
          <w:rFonts w:cs="Times New Roman" w:ascii="Times New Roman" w:hAnsi="Times New Roman"/>
          <w:sz w:val="24"/>
          <w:szCs w:val="24"/>
        </w:rPr>
        <w:t>W przypadku przyjęcia propozycji zmian stają się one obowiązujące i wchodzą w życie pod warunkiem objęcia ich pisemnym aneksem.</w:t>
      </w:r>
    </w:p>
    <w:p>
      <w:pPr>
        <w:pStyle w:val="Normal"/>
        <w:tabs>
          <w:tab w:val="clear" w:pos="708"/>
          <w:tab w:val="left" w:pos="709" w:leader="none"/>
        </w:tabs>
        <w:overflowPunct w:val="true"/>
        <w:spacing w:lineRule="auto" w:line="360"/>
        <w:ind w:left="284" w:right="0" w:hanging="0"/>
        <w:jc w:val="left"/>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567" w:leader="none"/>
        </w:tabs>
        <w:overflowPunct w:val="true"/>
        <w:spacing w:lineRule="auto" w:line="360"/>
        <w:jc w:val="center"/>
        <w:rPr>
          <w:rFonts w:ascii="Times New Roman" w:hAnsi="Times New Roman" w:cs="Times New Roman"/>
          <w:sz w:val="24"/>
          <w:szCs w:val="24"/>
        </w:rPr>
      </w:pPr>
      <w:r>
        <w:rPr>
          <w:rFonts w:cs="Times New Roman" w:ascii="Times New Roman" w:hAnsi="Times New Roman"/>
          <w:b/>
          <w:sz w:val="24"/>
          <w:szCs w:val="24"/>
        </w:rPr>
        <w:t>§ 12</w:t>
      </w:r>
    </w:p>
    <w:p>
      <w:pPr>
        <w:pStyle w:val="NormalWeb"/>
        <w:widowControl/>
        <w:tabs>
          <w:tab w:val="clear" w:pos="708"/>
          <w:tab w:val="left" w:pos="567" w:leader="none"/>
        </w:tabs>
        <w:bidi w:val="0"/>
        <w:spacing w:lineRule="auto" w:line="360" w:before="0" w:after="0"/>
        <w:ind w:left="130" w:right="0" w:hanging="143"/>
        <w:jc w:val="left"/>
        <w:rPr>
          <w:rFonts w:ascii="Times New Roman" w:hAnsi="Times New Roman" w:cs="Times New Roman"/>
          <w:sz w:val="24"/>
          <w:szCs w:val="24"/>
        </w:rPr>
      </w:pPr>
      <w:r>
        <w:rPr>
          <w:rFonts w:cs="Times New Roman" w:ascii="Times New Roman" w:hAnsi="Times New Roman"/>
          <w:sz w:val="24"/>
          <w:szCs w:val="24"/>
        </w:rPr>
        <w:t>1. Strony zobowiązane są do informowania się o:</w:t>
      </w:r>
    </w:p>
    <w:p>
      <w:pPr>
        <w:pStyle w:val="NormalWeb"/>
        <w:widowControl/>
        <w:tabs>
          <w:tab w:val="clear" w:pos="708"/>
          <w:tab w:val="left" w:pos="1134" w:leader="none"/>
        </w:tabs>
        <w:bidi w:val="0"/>
        <w:spacing w:lineRule="auto" w:line="360" w:before="0" w:after="0"/>
        <w:ind w:left="261" w:right="0" w:hanging="0"/>
        <w:jc w:val="left"/>
        <w:rPr>
          <w:rFonts w:ascii="Times New Roman" w:hAnsi="Times New Roman" w:cs="Times New Roman"/>
          <w:sz w:val="24"/>
          <w:szCs w:val="24"/>
        </w:rPr>
      </w:pPr>
      <w:r>
        <w:rPr>
          <w:rFonts w:cs="Times New Roman" w:ascii="Times New Roman" w:hAnsi="Times New Roman"/>
          <w:sz w:val="24"/>
          <w:szCs w:val="24"/>
        </w:rPr>
        <w:t>a) zmianach adresów oraz zmianach numerów telefonów i adresów e-mail.  W razie zaniedbania powyższego obowiązku, korespondencja przekazana na dotychczasowy adres lub adres e-mail, uważana jest za doręczoną;</w:t>
      </w:r>
    </w:p>
    <w:p>
      <w:pPr>
        <w:pStyle w:val="NormalWeb"/>
        <w:widowControl/>
        <w:tabs>
          <w:tab w:val="clear" w:pos="708"/>
          <w:tab w:val="left" w:pos="1134" w:leader="none"/>
        </w:tabs>
        <w:bidi w:val="0"/>
        <w:spacing w:lineRule="auto" w:line="360" w:before="0" w:after="0"/>
        <w:ind w:left="248" w:right="0" w:hanging="248"/>
        <w:jc w:val="left"/>
        <w:rPr>
          <w:rFonts w:ascii="Times New Roman" w:hAnsi="Times New Roman" w:cs="Times New Roman"/>
          <w:sz w:val="24"/>
          <w:szCs w:val="24"/>
        </w:rPr>
      </w:pPr>
      <w:r>
        <w:rPr>
          <w:rFonts w:cs="Times New Roman" w:ascii="Times New Roman" w:hAnsi="Times New Roman"/>
          <w:sz w:val="24"/>
          <w:szCs w:val="24"/>
        </w:rPr>
        <w:t>b) zmianach w strukturze organizacyjnej, dotyczących określonych w Umowie nazw, adresów;</w:t>
      </w:r>
    </w:p>
    <w:p>
      <w:pPr>
        <w:pStyle w:val="NormalWeb"/>
        <w:widowControl/>
        <w:tabs>
          <w:tab w:val="clear" w:pos="708"/>
          <w:tab w:val="left" w:pos="1134" w:leader="none"/>
        </w:tabs>
        <w:bidi w:val="0"/>
        <w:spacing w:lineRule="auto" w:line="360" w:before="0" w:after="0"/>
        <w:ind w:left="248" w:right="0" w:hanging="426"/>
        <w:jc w:val="left"/>
        <w:rPr>
          <w:rFonts w:ascii="Times New Roman" w:hAnsi="Times New Roman" w:cs="Times New Roman"/>
          <w:color w:val="00000A"/>
          <w:sz w:val="24"/>
          <w:szCs w:val="24"/>
        </w:rPr>
      </w:pPr>
      <w:r>
        <w:rPr>
          <w:rFonts w:cs="Times New Roman" w:ascii="Times New Roman" w:hAnsi="Times New Roman"/>
          <w:sz w:val="24"/>
          <w:szCs w:val="24"/>
        </w:rPr>
        <w:t xml:space="preserve">c) zmianach osób reprezentujących strony. </w:t>
      </w:r>
    </w:p>
    <w:p>
      <w:pPr>
        <w:pStyle w:val="Default"/>
        <w:widowControl/>
        <w:tabs>
          <w:tab w:val="clear" w:pos="708"/>
          <w:tab w:val="left" w:pos="142" w:leader="none"/>
        </w:tabs>
        <w:bidi w:val="0"/>
        <w:spacing w:lineRule="auto" w:line="360" w:before="0" w:after="0"/>
        <w:jc w:val="left"/>
        <w:rPr>
          <w:rFonts w:ascii="Times New Roman" w:hAnsi="Times New Roman" w:cs="Times New Roman"/>
          <w:b w:val="false"/>
          <w:b w:val="false"/>
          <w:bCs w:val="false"/>
          <w:sz w:val="24"/>
          <w:szCs w:val="24"/>
        </w:rPr>
      </w:pPr>
      <w:r>
        <w:rPr>
          <w:rFonts w:cs="Times New Roman" w:ascii="Times New Roman" w:hAnsi="Times New Roman"/>
          <w:color w:val="00000A"/>
          <w:sz w:val="24"/>
          <w:szCs w:val="24"/>
        </w:rPr>
        <w:t xml:space="preserve">Zaistnienie okoliczności, o których mowa w ust. 1 nie wymaga zawarcia aneksu do Umowy,                       a jedynie niezwłocznego pisemnego zawiadomienia drugiej strony. </w:t>
      </w:r>
    </w:p>
    <w:p>
      <w:pPr>
        <w:pStyle w:val="BodyText2"/>
        <w:widowControl/>
        <w:tabs>
          <w:tab w:val="clear" w:pos="708"/>
          <w:tab w:val="left" w:pos="567" w:leader="none"/>
        </w:tabs>
        <w:suppressAutoHyphens w:val="true"/>
        <w:bidi w:val="0"/>
        <w:spacing w:lineRule="auto" w:line="360" w:before="0" w:after="0"/>
        <w:ind w:left="0" w:right="0" w:firstLine="13"/>
        <w:jc w:val="left"/>
        <w:rPr>
          <w:rFonts w:ascii="Times New Roman" w:hAnsi="Times New Roman" w:cs="Times New Roman"/>
          <w:b w:val="false"/>
          <w:b w:val="false"/>
          <w:bCs w:val="false"/>
          <w:sz w:val="24"/>
          <w:szCs w:val="24"/>
        </w:rPr>
      </w:pPr>
      <w:r>
        <w:rPr>
          <w:rFonts w:cs="Times New Roman" w:ascii="Times New Roman" w:hAnsi="Times New Roman"/>
          <w:b w:val="false"/>
          <w:bCs w:val="false"/>
          <w:sz w:val="24"/>
          <w:szCs w:val="24"/>
        </w:rPr>
        <w:t xml:space="preserve">2. </w:t>
      </w:r>
      <w:r>
        <w:rPr>
          <w:rFonts w:cs="Times New Roman" w:ascii="Times New Roman" w:hAnsi="Times New Roman"/>
          <w:b/>
          <w:bCs/>
          <w:sz w:val="24"/>
          <w:szCs w:val="24"/>
        </w:rPr>
        <w:t>Wykonawca</w:t>
      </w:r>
      <w:r>
        <w:rPr>
          <w:rFonts w:cs="Times New Roman" w:ascii="Times New Roman" w:hAnsi="Times New Roman"/>
          <w:sz w:val="24"/>
          <w:szCs w:val="24"/>
        </w:rPr>
        <w:t xml:space="preserve"> wyznacza do współpracy z </w:t>
      </w:r>
      <w:r>
        <w:rPr>
          <w:rFonts w:cs="Times New Roman" w:ascii="Times New Roman" w:hAnsi="Times New Roman"/>
          <w:b/>
          <w:bCs/>
          <w:sz w:val="24"/>
          <w:szCs w:val="24"/>
        </w:rPr>
        <w:t>Zamawiającym pana/panią</w:t>
      </w:r>
      <w:r>
        <w:rPr>
          <w:rFonts w:cs="Times New Roman" w:ascii="Times New Roman" w:hAnsi="Times New Roman"/>
          <w:b w:val="false"/>
          <w:bCs w:val="false"/>
          <w:sz w:val="24"/>
          <w:szCs w:val="24"/>
        </w:rPr>
        <w:t xml:space="preserve"> ………………….....</w:t>
      </w:r>
      <w:r>
        <w:rPr>
          <w:rFonts w:cs="Times New Roman" w:ascii="Times New Roman" w:hAnsi="Times New Roman"/>
          <w:b/>
          <w:sz w:val="24"/>
          <w:szCs w:val="24"/>
        </w:rPr>
        <w:t xml:space="preserve">                </w:t>
      </w:r>
      <w:r>
        <w:rPr>
          <w:rFonts w:cs="Times New Roman" w:ascii="Times New Roman" w:hAnsi="Times New Roman"/>
          <w:bCs/>
          <w:sz w:val="24"/>
          <w:szCs w:val="24"/>
        </w:rPr>
        <w:t xml:space="preserve"> </w:t>
      </w:r>
      <w:r>
        <w:rPr>
          <w:rFonts w:cs="Times New Roman" w:ascii="Times New Roman" w:hAnsi="Times New Roman"/>
          <w:sz w:val="24"/>
          <w:szCs w:val="24"/>
        </w:rPr>
        <w:t>e-mail:</w:t>
      </w:r>
      <w:r>
        <w:rPr>
          <w:rFonts w:cs="Times New Roman" w:ascii="Times New Roman" w:hAnsi="Times New Roman"/>
          <w:b/>
          <w:bCs/>
          <w:sz w:val="24"/>
          <w:szCs w:val="24"/>
        </w:rPr>
        <w:t xml:space="preserve"> </w:t>
      </w:r>
      <w:r>
        <w:rPr>
          <w:rFonts w:cs="Times New Roman" w:ascii="Times New Roman" w:hAnsi="Times New Roman"/>
          <w:b w:val="false"/>
          <w:bCs w:val="false"/>
          <w:sz w:val="24"/>
          <w:szCs w:val="24"/>
        </w:rPr>
        <w:t>……………………………............</w:t>
      </w:r>
      <w:r>
        <w:rPr>
          <w:rFonts w:cs="Times New Roman" w:ascii="Times New Roman" w:hAnsi="Times New Roman"/>
          <w:sz w:val="24"/>
          <w:szCs w:val="24"/>
        </w:rPr>
        <w:br/>
        <w:t xml:space="preserve">tel: </w:t>
      </w:r>
      <w:r>
        <w:rPr>
          <w:rFonts w:cs="Times New Roman" w:ascii="Times New Roman" w:hAnsi="Times New Roman"/>
          <w:b w:val="false"/>
          <w:bCs w:val="false"/>
          <w:sz w:val="24"/>
          <w:szCs w:val="24"/>
        </w:rPr>
        <w:t>………………………………………..</w:t>
      </w:r>
    </w:p>
    <w:p>
      <w:pPr>
        <w:pStyle w:val="BodyText2"/>
        <w:widowControl/>
        <w:tabs>
          <w:tab w:val="clear" w:pos="708"/>
          <w:tab w:val="left" w:pos="567" w:leader="none"/>
        </w:tabs>
        <w:suppressAutoHyphens w:val="true"/>
        <w:bidi w:val="0"/>
        <w:spacing w:lineRule="auto" w:line="360" w:before="0" w:after="0"/>
        <w:ind w:left="0" w:right="0" w:hanging="13"/>
        <w:jc w:val="left"/>
        <w:rPr>
          <w:rFonts w:ascii="Times New Roman" w:hAnsi="Times New Roman" w:cs="Times New Roman"/>
          <w:sz w:val="24"/>
          <w:szCs w:val="24"/>
        </w:rPr>
      </w:pPr>
      <w:r>
        <w:rPr>
          <w:rFonts w:cs="Times New Roman" w:ascii="Times New Roman" w:hAnsi="Times New Roman"/>
          <w:b w:val="false"/>
          <w:bCs w:val="false"/>
          <w:sz w:val="24"/>
          <w:szCs w:val="24"/>
        </w:rPr>
        <w:t xml:space="preserve">3. </w:t>
      </w:r>
      <w:r>
        <w:rPr>
          <w:rFonts w:cs="Times New Roman" w:ascii="Times New Roman" w:hAnsi="Times New Roman"/>
          <w:b/>
          <w:bCs/>
          <w:sz w:val="24"/>
          <w:szCs w:val="24"/>
        </w:rPr>
        <w:t>Zamawiający</w:t>
      </w:r>
      <w:r>
        <w:rPr>
          <w:rFonts w:cs="Times New Roman" w:ascii="Times New Roman" w:hAnsi="Times New Roman"/>
          <w:sz w:val="24"/>
          <w:szCs w:val="24"/>
        </w:rPr>
        <w:t xml:space="preserve"> wyznacza do współpracy z </w:t>
      </w:r>
      <w:r>
        <w:rPr>
          <w:rFonts w:cs="Times New Roman" w:ascii="Times New Roman" w:hAnsi="Times New Roman"/>
          <w:b/>
          <w:bCs/>
          <w:sz w:val="24"/>
          <w:szCs w:val="24"/>
        </w:rPr>
        <w:t xml:space="preserve">Wykonawcą  pana/panią </w:t>
      </w:r>
      <w:r>
        <w:rPr>
          <w:rFonts w:cs="Times New Roman" w:ascii="Times New Roman" w:hAnsi="Times New Roman"/>
          <w:b w:val="false"/>
          <w:bCs w:val="false"/>
          <w:sz w:val="24"/>
          <w:szCs w:val="24"/>
        </w:rPr>
        <w:t>………………………………....................</w:t>
      </w:r>
    </w:p>
    <w:p>
      <w:pPr>
        <w:pStyle w:val="BodyText2"/>
        <w:tabs>
          <w:tab w:val="clear" w:pos="708"/>
          <w:tab w:val="left" w:pos="567" w:leader="none"/>
        </w:tabs>
        <w:spacing w:lineRule="auto" w:line="360"/>
        <w:jc w:val="left"/>
        <w:rPr>
          <w:rFonts w:ascii="Times New Roman" w:hAnsi="Times New Roman" w:cs="Times New Roman"/>
          <w:sz w:val="24"/>
          <w:szCs w:val="24"/>
        </w:rPr>
      </w:pPr>
      <w:r>
        <w:rPr>
          <w:rFonts w:cs="Times New Roman" w:ascii="Times New Roman" w:hAnsi="Times New Roman"/>
          <w:sz w:val="24"/>
          <w:szCs w:val="24"/>
        </w:rPr>
        <w:t xml:space="preserve">e-mail: </w:t>
      </w:r>
      <w:r>
        <w:rPr>
          <w:rFonts w:cs="Times New Roman" w:ascii="Times New Roman" w:hAnsi="Times New Roman"/>
          <w:b w:val="false"/>
          <w:bCs w:val="false"/>
          <w:sz w:val="24"/>
          <w:szCs w:val="24"/>
        </w:rPr>
        <w:t xml:space="preserve">…………………………………… </w:t>
      </w:r>
      <w:r>
        <w:rPr>
          <w:rFonts w:cs="Times New Roman" w:ascii="Times New Roman" w:hAnsi="Times New Roman"/>
          <w:sz w:val="24"/>
          <w:szCs w:val="24"/>
        </w:rPr>
        <w:br/>
        <w:t xml:space="preserve">tel: </w:t>
      </w:r>
      <w:r>
        <w:rPr>
          <w:rFonts w:cs="Times New Roman" w:ascii="Times New Roman" w:hAnsi="Times New Roman"/>
          <w:b w:val="false"/>
          <w:bCs w:val="false"/>
          <w:sz w:val="24"/>
          <w:szCs w:val="24"/>
        </w:rPr>
        <w:t>……………………………………......</w:t>
      </w:r>
    </w:p>
    <w:p>
      <w:pPr>
        <w:pStyle w:val="BodyText2"/>
        <w:widowControl/>
        <w:tabs>
          <w:tab w:val="clear" w:pos="708"/>
          <w:tab w:val="left" w:pos="567" w:leader="none"/>
        </w:tabs>
        <w:suppressAutoHyphens w:val="true"/>
        <w:bidi w:val="0"/>
        <w:spacing w:lineRule="auto" w:line="360" w:before="0" w:after="120"/>
        <w:jc w:val="left"/>
        <w:rPr>
          <w:rFonts w:ascii="Times New Roman" w:hAnsi="Times New Roman" w:cs="Times New Roman"/>
          <w:sz w:val="24"/>
          <w:szCs w:val="24"/>
        </w:rPr>
      </w:pPr>
      <w:r>
        <w:rPr>
          <w:rFonts w:cs="Times New Roman" w:ascii="Times New Roman" w:hAnsi="Times New Roman"/>
          <w:sz w:val="24"/>
          <w:szCs w:val="24"/>
        </w:rPr>
        <w:t xml:space="preserve">4. Umowę niniejszą sporządzono w trzech jednobrzmiących egzemplarzach, w tym jeden dla </w:t>
      </w:r>
      <w:r>
        <w:rPr>
          <w:rFonts w:cs="Times New Roman" w:ascii="Times New Roman" w:hAnsi="Times New Roman"/>
          <w:b/>
          <w:sz w:val="24"/>
          <w:szCs w:val="24"/>
        </w:rPr>
        <w:t>Wykonawcy</w:t>
      </w:r>
      <w:r>
        <w:rPr>
          <w:rFonts w:cs="Times New Roman" w:ascii="Times New Roman" w:hAnsi="Times New Roman"/>
          <w:sz w:val="24"/>
          <w:szCs w:val="24"/>
        </w:rPr>
        <w:t xml:space="preserve"> i dwa dla </w:t>
      </w:r>
      <w:r>
        <w:rPr>
          <w:rFonts w:cs="Times New Roman" w:ascii="Times New Roman" w:hAnsi="Times New Roman"/>
          <w:b/>
          <w:sz w:val="24"/>
          <w:szCs w:val="24"/>
        </w:rPr>
        <w:t>Zamawiającego</w:t>
      </w:r>
      <w:r>
        <w:rPr>
          <w:rFonts w:cs="Times New Roman" w:ascii="Times New Roman" w:hAnsi="Times New Roman"/>
          <w:sz w:val="24"/>
          <w:szCs w:val="24"/>
        </w:rPr>
        <w:t>.</w:t>
      </w:r>
    </w:p>
    <w:p>
      <w:pPr>
        <w:pStyle w:val="BodyText2"/>
        <w:widowControl/>
        <w:tabs>
          <w:tab w:val="clear" w:pos="708"/>
          <w:tab w:val="left" w:pos="567" w:leader="none"/>
        </w:tabs>
        <w:suppressAutoHyphens w:val="true"/>
        <w:bidi w:val="0"/>
        <w:spacing w:lineRule="auto" w:line="360" w:before="0" w:after="120"/>
        <w:jc w:val="left"/>
        <w:rPr>
          <w:rFonts w:ascii="Times New Roman" w:hAnsi="Times New Roman" w:cs="Times New Roman"/>
          <w:sz w:val="24"/>
          <w:szCs w:val="24"/>
        </w:rPr>
      </w:pPr>
      <w:r>
        <w:rPr>
          <w:rFonts w:cs="Times New Roman" w:ascii="Times New Roman" w:hAnsi="Times New Roman"/>
          <w:sz w:val="24"/>
          <w:szCs w:val="24"/>
        </w:rPr>
        <w:t xml:space="preserve">5. Integralną część umowy stanowią: </w:t>
      </w:r>
    </w:p>
    <w:p>
      <w:pPr>
        <w:pStyle w:val="ListParagraph"/>
        <w:widowControl/>
        <w:tabs>
          <w:tab w:val="clear" w:pos="708"/>
          <w:tab w:val="left" w:pos="0" w:leader="none"/>
        </w:tabs>
        <w:suppressAutoHyphens w:val="true"/>
        <w:overflowPunct w:val="true"/>
        <w:bidi w:val="0"/>
        <w:spacing w:lineRule="auto" w:line="360" w:before="0" w:after="200"/>
        <w:ind w:left="261" w:right="0" w:hanging="261"/>
        <w:jc w:val="left"/>
        <w:rPr>
          <w:rFonts w:ascii="Times New Roman" w:hAnsi="Times New Roman" w:cs="Times New Roman"/>
          <w:sz w:val="24"/>
          <w:szCs w:val="24"/>
        </w:rPr>
      </w:pPr>
      <w:r>
        <w:rPr>
          <w:rFonts w:cs="Times New Roman" w:ascii="Times New Roman" w:hAnsi="Times New Roman"/>
          <w:sz w:val="24"/>
          <w:szCs w:val="24"/>
        </w:rPr>
        <w:tab/>
        <w:t>a) Załącznik nr 1 – Pełnomocnictwo;</w:t>
      </w:r>
    </w:p>
    <w:p>
      <w:pPr>
        <w:pStyle w:val="ListParagraph"/>
        <w:widowControl/>
        <w:tabs>
          <w:tab w:val="clear" w:pos="708"/>
          <w:tab w:val="left" w:pos="0" w:leader="none"/>
        </w:tabs>
        <w:suppressAutoHyphens w:val="true"/>
        <w:overflowPunct w:val="true"/>
        <w:bidi w:val="0"/>
        <w:spacing w:lineRule="auto" w:line="360" w:before="0" w:after="200"/>
        <w:ind w:left="261" w:right="0" w:hanging="261"/>
        <w:jc w:val="left"/>
        <w:rPr>
          <w:rFonts w:ascii="Times New Roman" w:hAnsi="Times New Roman" w:cs="Times New Roman"/>
          <w:sz w:val="24"/>
          <w:szCs w:val="24"/>
        </w:rPr>
      </w:pPr>
      <w:r>
        <w:rPr>
          <w:rFonts w:cs="Times New Roman" w:ascii="Times New Roman" w:hAnsi="Times New Roman"/>
          <w:sz w:val="24"/>
          <w:szCs w:val="24"/>
        </w:rPr>
        <w:tab/>
        <w:t>b) Załącznik nr 1 do Formularza ofertowego;</w:t>
      </w:r>
    </w:p>
    <w:p>
      <w:pPr>
        <w:pStyle w:val="ListParagraph"/>
        <w:widowControl/>
        <w:tabs>
          <w:tab w:val="clear" w:pos="708"/>
          <w:tab w:val="left" w:pos="0" w:leader="none"/>
        </w:tabs>
        <w:suppressAutoHyphens w:val="true"/>
        <w:overflowPunct w:val="true"/>
        <w:bidi w:val="0"/>
        <w:spacing w:lineRule="auto" w:line="360" w:before="0" w:after="200"/>
        <w:ind w:left="261" w:right="0" w:hanging="261"/>
        <w:jc w:val="left"/>
        <w:rPr>
          <w:rFonts w:ascii="Times New Roman" w:hAnsi="Times New Roman" w:cs="Times New Roman"/>
          <w:sz w:val="24"/>
          <w:szCs w:val="24"/>
        </w:rPr>
      </w:pPr>
      <w:r>
        <w:rPr>
          <w:rFonts w:cs="Times New Roman" w:ascii="Times New Roman" w:hAnsi="Times New Roman"/>
          <w:sz w:val="24"/>
          <w:szCs w:val="24"/>
        </w:rPr>
        <w:tab/>
        <w:t>c) – Zestawienie obiektów Zamawiającego wraz z danymi i grupami taryfowymi;</w:t>
      </w:r>
    </w:p>
    <w:p>
      <w:pPr>
        <w:pStyle w:val="ListParagraph"/>
        <w:widowControl/>
        <w:suppressAutoHyphens w:val="true"/>
        <w:overflowPunct w:val="true"/>
        <w:bidi w:val="0"/>
        <w:spacing w:lineRule="auto" w:line="360" w:before="0" w:after="200"/>
        <w:ind w:left="261" w:right="0" w:hanging="261"/>
        <w:jc w:val="left"/>
        <w:rPr>
          <w:rFonts w:ascii="Times New Roman" w:hAnsi="Times New Roman" w:cs="Times New Roman"/>
          <w:sz w:val="24"/>
          <w:szCs w:val="24"/>
        </w:rPr>
      </w:pPr>
      <w:r>
        <w:rPr>
          <w:rFonts w:cs="Times New Roman" w:ascii="Times New Roman" w:hAnsi="Times New Roman"/>
          <w:sz w:val="24"/>
          <w:szCs w:val="24"/>
        </w:rPr>
        <w:t xml:space="preserve">6. Wszelkie ewentualne spory wynikające z realizacji Umowy będą rozstrzygane polubownie lub przez sąd właściwy dla siedziby </w:t>
      </w:r>
      <w:r>
        <w:rPr>
          <w:rFonts w:cs="Times New Roman" w:ascii="Times New Roman" w:hAnsi="Times New Roman"/>
          <w:b/>
          <w:sz w:val="24"/>
          <w:szCs w:val="24"/>
        </w:rPr>
        <w:t>Zamawiającego</w:t>
      </w:r>
      <w:r>
        <w:rPr>
          <w:rFonts w:cs="Times New Roman" w:ascii="Times New Roman" w:hAnsi="Times New Roman"/>
          <w:sz w:val="24"/>
          <w:szCs w:val="24"/>
        </w:rPr>
        <w:t>.</w:t>
      </w:r>
    </w:p>
    <w:p>
      <w:pPr>
        <w:pStyle w:val="ListParagraph"/>
        <w:widowControl/>
        <w:suppressAutoHyphens w:val="true"/>
        <w:overflowPunct w:val="true"/>
        <w:bidi w:val="0"/>
        <w:spacing w:lineRule="auto" w:line="360" w:before="0" w:after="200"/>
        <w:ind w:left="248" w:right="0" w:hanging="248"/>
        <w:jc w:val="left"/>
        <w:rPr>
          <w:rFonts w:ascii="Times New Roman" w:hAnsi="Times New Roman" w:cs="Times New Roman"/>
          <w:b/>
          <w:b/>
          <w:sz w:val="24"/>
          <w:szCs w:val="24"/>
        </w:rPr>
      </w:pPr>
      <w:r>
        <w:rPr>
          <w:rFonts w:cs="Times New Roman" w:ascii="Times New Roman" w:hAnsi="Times New Roman"/>
          <w:sz w:val="24"/>
          <w:szCs w:val="24"/>
        </w:rPr>
        <w:t>7. Zmiany umowy, wymagają formy pisemnej w postaci aneksu, pod rygorem nieważności.</w:t>
      </w:r>
    </w:p>
    <w:p>
      <w:pPr>
        <w:pStyle w:val="Normal"/>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t>Wykonawca                                                                             Zamawiający</w:t>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ind w:left="0" w:right="0" w:firstLine="708"/>
        <w:jc w:val="left"/>
        <w:rPr>
          <w:rFonts w:ascii="Times New Roman" w:hAnsi="Times New Roman" w:cs="Times New Roman"/>
          <w:b/>
          <w:b/>
          <w:sz w:val="24"/>
          <w:szCs w:val="24"/>
        </w:rPr>
      </w:pPr>
      <w:r>
        <w:rPr>
          <w:rFonts w:cs="Times New Roman" w:ascii="Times New Roman" w:hAnsi="Times New Roman"/>
          <w:b/>
          <w:sz w:val="24"/>
          <w:szCs w:val="24"/>
        </w:rPr>
      </w:r>
    </w:p>
    <w:p>
      <w:pPr>
        <w:pStyle w:val="Normal"/>
        <w:jc w:val="center"/>
        <w:rPr>
          <w:rFonts w:ascii="Times New Roman" w:hAnsi="Times New Roman" w:cs="Times New Roman"/>
          <w:b/>
          <w:b/>
          <w:sz w:val="20"/>
          <w:szCs w:val="20"/>
        </w:rPr>
      </w:pPr>
      <w:r>
        <w:rPr>
          <w:rFonts w:cs="Times New Roman" w:ascii="Times New Roman" w:hAnsi="Times New Roman"/>
          <w:b/>
          <w:sz w:val="20"/>
          <w:szCs w:val="20"/>
        </w:rPr>
        <w:t>KLAUZULA INFORMACYJNA W DOMU POMOCY SPOŁECZNEJ W RADOMSKU</w:t>
      </w:r>
    </w:p>
    <w:p>
      <w:pPr>
        <w:pStyle w:val="Normal"/>
        <w:jc w:val="center"/>
        <w:rPr>
          <w:rFonts w:ascii="Times New Roman" w:hAnsi="Times New Roman" w:cs="Times New Roman"/>
          <w:b/>
          <w:b/>
          <w:sz w:val="20"/>
          <w:szCs w:val="20"/>
        </w:rPr>
      </w:pPr>
      <w:r>
        <w:rPr>
          <w:rFonts w:cs="Times New Roman" w:ascii="Times New Roman" w:hAnsi="Times New Roman"/>
          <w:b/>
          <w:sz w:val="20"/>
          <w:szCs w:val="20"/>
        </w:rPr>
        <w:t>UMOWY CYWILNO – PRAWNE</w:t>
      </w:r>
    </w:p>
    <w:p>
      <w:pPr>
        <w:pStyle w:val="Normal"/>
        <w:jc w:val="center"/>
        <w:rPr>
          <w:rFonts w:ascii="Times New Roman" w:hAnsi="Times New Roman" w:cs="Times New Roman"/>
          <w:b/>
          <w:b/>
          <w:sz w:val="20"/>
          <w:szCs w:val="20"/>
        </w:rPr>
      </w:pPr>
      <w:r>
        <w:rPr>
          <w:rFonts w:cs="Times New Roman" w:ascii="Times New Roman" w:hAnsi="Times New Roman"/>
          <w:b/>
          <w:sz w:val="20"/>
          <w:szCs w:val="20"/>
        </w:rPr>
      </w:r>
    </w:p>
    <w:p>
      <w:pPr>
        <w:pStyle w:val="NormalWeb"/>
        <w:spacing w:lineRule="auto" w:line="276"/>
        <w:jc w:val="left"/>
        <w:rPr>
          <w:rFonts w:ascii="Times New Roman" w:hAnsi="Times New Roman" w:cs="Times New Roman"/>
          <w:sz w:val="20"/>
          <w:szCs w:val="20"/>
        </w:rPr>
      </w:pPr>
      <w:r>
        <w:rPr>
          <w:rFonts w:cs="Times New Roman" w:ascii="Times New Roman" w:hAnsi="Times New Roman"/>
          <w:sz w:val="20"/>
          <w:szCs w:val="20"/>
        </w:rPr>
        <w:t>Zgodnie z art. 13 ust 1 i 2 ogólnego rozporządzenia o ochronie danych osobowych z dnia 27 kwietnia 2016 r. (Dz. Urz. UE L 119 z 04.05.2016) informuję, iż:</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Administratorem Pani/Pana danych osobowych jest Dom Pomocy Społecznej, ul. I. Krasickiego 138, 97-500 Radomsko, tel. 44 682 08 40.</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 xml:space="preserve">Administrator wyznaczył Inspektora Ochrony Danych, jest nim Adam Pałecz, kontakt  </w:t>
      </w:r>
      <w:hyperlink r:id="rId2">
        <w:r>
          <w:rPr>
            <w:rStyle w:val="Czeinternetowe"/>
            <w:rFonts w:cs="Times New Roman" w:ascii="Times New Roman" w:hAnsi="Times New Roman"/>
            <w:sz w:val="20"/>
            <w:szCs w:val="20"/>
          </w:rPr>
          <w:t>iod@dpsradomsko.naszdps.pl</w:t>
        </w:r>
      </w:hyperlink>
      <w:r>
        <w:rPr>
          <w:rFonts w:cs="Times New Roman" w:ascii="Times New Roman" w:hAnsi="Times New Roman"/>
          <w:sz w:val="20"/>
          <w:szCs w:val="20"/>
        </w:rPr>
        <w:t>. Z Inspektorem Ochrony Danych można kontaktować się we wszystkich sprawach dotyczących danych osobowych przetwarzanych przez administratora.</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Pana/Pani dane osobowe będą przetwarzane w celach związanych z zawarciem i realizacją umowy cywilno-prawnej w oparciu o art. 6 ust.1 lit. b) RODO.</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Odbiorcami Pani/Pana danych osobowych mogą być podmioty upoważnione na podstawie obowiązujących przepisów prawa, podmioty przetwarzające na podstawie zawartych umów, gwarantujące wdrożenie odpowiednich zabezpieczeń zgodnych z RODO, ·w szczególności podmioty dostarczające rozwiązania IT dla Domu Pomocy Społecznej.</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Pani/Pana dane osobowe będą przechowywane do chwili realizacji zadania, do którego dane osobowe zostały zebrane a następnie, jeśli chodzi o materiały archiwalne, przez czas wynikający z przepisów ustawy z dnia 14 lipca 1983 r. o narodowym zasobie archiwalnym i archiwach.</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Zgodnie z RODO przysługuje Pani/Panu prawo do:</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dostępu do swoich danych osobowych;</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sprostowania swoich danych osobowych;</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żądania usunięcia swoich danych osobowych;</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żądania ograniczenia przetwarzania danych osobowych;</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wniesienia sprzeciwu wobec przetwarzania swoich danych osobowych;</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żądania przeniesienia swoich danych osobowych;</w:t>
      </w:r>
    </w:p>
    <w:p>
      <w:pPr>
        <w:pStyle w:val="ListParagraph"/>
        <w:numPr>
          <w:ilvl w:val="1"/>
          <w:numId w:val="17"/>
        </w:numPr>
        <w:spacing w:before="0" w:after="0"/>
        <w:ind w:left="720" w:right="0" w:hanging="357"/>
        <w:jc w:val="left"/>
        <w:rPr>
          <w:rFonts w:ascii="Times New Roman" w:hAnsi="Times New Roman" w:cs="Times New Roman"/>
          <w:sz w:val="20"/>
          <w:szCs w:val="20"/>
        </w:rPr>
      </w:pPr>
      <w:r>
        <w:rPr>
          <w:rFonts w:cs="Times New Roman" w:ascii="Times New Roman" w:hAnsi="Times New Roman"/>
          <w:sz w:val="20"/>
          <w:szCs w:val="20"/>
        </w:rPr>
        <w:t>wniesienia skargi do organu nadzorczego, tj. Prezesa Urzędu Ochrony Danych Osobowych, ul. Stawki 2, 00-193 Warszawa.</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Państwa dane nie będą przetwarzane w sposób zautomatyzowany, w tym w formie profilowania. Państwa dane nie będą przekazywane do państw trzecich lub organizacji międzynarodowych.</w:t>
      </w:r>
    </w:p>
    <w:p>
      <w:pPr>
        <w:pStyle w:val="ListParagraph"/>
        <w:numPr>
          <w:ilvl w:val="0"/>
          <w:numId w:val="16"/>
        </w:numPr>
        <w:spacing w:before="120" w:after="120"/>
        <w:ind w:left="720" w:right="0" w:hanging="357"/>
        <w:jc w:val="left"/>
        <w:rPr>
          <w:rFonts w:ascii="Times New Roman" w:hAnsi="Times New Roman" w:cs="Times New Roman"/>
          <w:sz w:val="20"/>
          <w:szCs w:val="20"/>
        </w:rPr>
      </w:pPr>
      <w:r>
        <w:rPr>
          <w:rFonts w:cs="Times New Roman" w:ascii="Times New Roman" w:hAnsi="Times New Roman"/>
          <w:sz w:val="20"/>
          <w:szCs w:val="20"/>
        </w:rPr>
        <w:t>Podanie danych osobowych w zakresie niezbędnym do realizacji zawartej umów oraz prowadzenia rozliczeń między stronami jest obligatoryjne, a w pozostałym zakresie jest dobrowolne. Konsekwencją niepodania danych osobowych jest brak możliwości zawarcia umowy.</w:t>
      </w:r>
    </w:p>
    <w:sectPr>
      <w:footerReference w:type="even" r:id="rId3"/>
      <w:footerReference w:type="default" r:id="rId4"/>
      <w:type w:val="nextPage"/>
      <w:pgSz w:w="11906" w:h="16838"/>
      <w:pgMar w:left="1417" w:right="1417" w:gutter="0" w:header="0" w:top="1134" w:footer="1134" w:bottom="1389"/>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Arial">
    <w:charset w:val="ee"/>
    <w:family w:val="swiss"/>
    <w:pitch w:val="variable"/>
  </w:font>
  <w:font w:name="Calibri Light">
    <w:charset w:val="ee"/>
    <w:family w:val="roman"/>
    <w:pitch w:val="variable"/>
  </w:font>
  <w:font w:name="Times New Roman">
    <w:charset w:val="ee"/>
    <w:family w:val="roman"/>
    <w:pitch w:val="variable"/>
  </w:font>
  <w:font w:name="Gill Sans CE">
    <w:charset w:val="ee"/>
    <w:family w:val="roman"/>
    <w:pitch w:val="variable"/>
  </w:font>
  <w:font w:name="Segoe U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ind w:left="0" w:right="360" w:hanging="0"/>
      <w:rPr/>
    </w:pPr>
    <w:r>
      <w:rPr/>
    </w:r>
    <w:r>
      <mc:AlternateContent>
        <mc:Choice Requires="wps">
          <w:drawing>
            <wp:anchor behindDoc="0" distT="0" distB="0" distL="8584565" distR="8584565" simplePos="0" locked="0" layoutInCell="0" allowOverlap="1" relativeHeight="9">
              <wp:simplePos x="0" y="0"/>
              <wp:positionH relativeFrom="page">
                <wp:posOffset>6506210</wp:posOffset>
              </wp:positionH>
              <wp:positionV relativeFrom="paragraph">
                <wp:posOffset>635</wp:posOffset>
              </wp:positionV>
              <wp:extent cx="343535" cy="184150"/>
              <wp:effectExtent l="0" t="0" r="0" b="0"/>
              <wp:wrapSquare wrapText="largest"/>
              <wp:docPr id="1" name="Ramka1"/>
              <a:graphic xmlns:a="http://schemas.openxmlformats.org/drawingml/2006/main">
                <a:graphicData uri="http://schemas.microsoft.com/office/word/2010/wordprocessingShape">
                  <wps:wsp>
                    <wps:cNvSpPr txBox="1"/>
                    <wps:spPr>
                      <a:xfrm>
                        <a:off x="0" y="0"/>
                        <a:ext cx="343535" cy="184150"/>
                      </a:xfrm>
                      <a:prstGeom prst="rect"/>
                      <a:solidFill>
                        <a:srgbClr val="FFFFFF"/>
                      </a:solidFill>
                    </wps:spPr>
                    <wps:txbx>
                      <w:txbxContent>
                        <w:p>
                          <w:pPr>
                            <w:pStyle w:val="Stopka"/>
                            <w:pBdr/>
                            <w:rPr/>
                          </w:pPr>
                          <w:r>
                            <w:rPr/>
                            <w:fldChar w:fldCharType="begin"/>
                          </w:r>
                          <w:r>
                            <w:rPr/>
                            <w:instrText xml:space="preserve"> PAGE </w:instrText>
                          </w:r>
                          <w:r>
                            <w:rPr/>
                            <w:fldChar w:fldCharType="separate"/>
                          </w:r>
                          <w:r>
                            <w:rPr/>
                            <w:t>16</w:t>
                          </w:r>
                          <w:r>
                            <w:rPr/>
                            <w:fldChar w:fldCharType="end"/>
                          </w:r>
                        </w:p>
                      </w:txbxContent>
                    </wps:txbx>
                    <wps:bodyPr anchor="t" lIns="635" tIns="635" rIns="635" bIns="635">
                      <a:noAutofit/>
                    </wps:bodyPr>
                  </wps:wsp>
                </a:graphicData>
              </a:graphic>
            </wp:anchor>
          </w:drawing>
        </mc:Choice>
        <mc:Fallback>
          <w:pict>
            <v:rect fillcolor="#FFFFFF" style="position:absolute;rotation:-0;width:27.05pt;height:14.5pt;mso-wrap-distance-left:675.95pt;mso-wrap-distance-right:675.95pt;mso-wrap-distance-top:0pt;mso-wrap-distance-bottom:0pt;margin-top:0.05pt;mso-position-vertical-relative:text;margin-left:512.3pt;mso-position-horizontal-relative:page">
              <v:textbox inset="0.000694444444444444in,0.000694444444444444in,0.000694444444444444in,0.000694444444444444in">
                <w:txbxContent>
                  <w:p>
                    <w:pPr>
                      <w:pStyle w:val="Stopka"/>
                      <w:pBdr/>
                      <w:rPr/>
                    </w:pPr>
                    <w:r>
                      <w:rPr/>
                      <w:fldChar w:fldCharType="begin"/>
                    </w:r>
                    <w:r>
                      <w:rPr/>
                      <w:instrText xml:space="preserve"> PAGE </w:instrText>
                    </w:r>
                    <w:r>
                      <w:rPr/>
                      <w:fldChar w:fldCharType="separate"/>
                    </w:r>
                    <w:r>
                      <w:rPr/>
                      <w:t>16</w:t>
                    </w:r>
                    <w:r>
                      <w:rPr/>
                      <w:fldChar w:fldCharType="end"/>
                    </w:r>
                  </w:p>
                </w:txbxContent>
              </v:textbox>
              <w10:wrap type="square" side="largest"/>
            </v:rect>
          </w:pict>
        </mc:Fallback>
      </mc:AlternateContent>
    </w:r>
  </w:p>
  <w:p>
    <w:pPr>
      <w:pStyle w:val="Normal"/>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Stopka"/>
      <w:jc w:val="right"/>
      <w:rPr/>
    </w:pPr>
    <w:r>
      <w:rPr>
        <w:rFonts w:cs="Calibri Light" w:ascii="Calibri Light" w:hAnsi="Calibri Light"/>
      </w:rPr>
      <w:t xml:space="preserve">str. </w:t>
    </w:r>
    <w:r>
      <w:rPr/>
      <w:fldChar w:fldCharType="begin"/>
    </w:r>
    <w:r>
      <w:rPr/>
      <w:instrText xml:space="preserve"> PAGE </w:instrText>
    </w:r>
    <w:r>
      <w:rPr/>
      <w:fldChar w:fldCharType="separate"/>
    </w:r>
    <w:r>
      <w:rPr/>
      <w:t>15</w:t>
    </w:r>
    <w:r>
      <w:rPr/>
      <w:fldChar w:fldCharType="end"/>
    </w:r>
  </w:p>
  <w:p>
    <w:pPr>
      <w:pStyle w:val="Normal"/>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Nagwek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pStyle w:val="Nagwek3"/>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decimal"/>
      <w:lvlText w:val="%1."/>
      <w:lvlJc w:val="left"/>
      <w:pPr>
        <w:tabs>
          <w:tab w:val="num" w:pos="360"/>
        </w:tabs>
        <w:ind w:left="283" w:hanging="283"/>
      </w:pPr>
      <w:rPr>
        <w:b w:val="false"/>
        <w:bCs/>
        <w:rFonts w:cs="Calibri"/>
        <w:color w:val="00000A"/>
      </w:rPr>
    </w:lvl>
    <w:lvl w:ilvl="1">
      <w:start w:val="1"/>
      <w:numFmt w:val="lowerLetter"/>
      <w:lvlText w:val="%2)"/>
      <w:lvlJc w:val="left"/>
      <w:pPr>
        <w:tabs>
          <w:tab w:val="num" w:pos="0"/>
        </w:tabs>
        <w:ind w:left="1440" w:hanging="360"/>
      </w:pPr>
      <w:rPr>
        <w:b/>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3">
    <w:lvl w:ilvl="0">
      <w:start w:val="1"/>
      <w:numFmt w:val="lowerLetter"/>
      <w:lvlText w:val="%1)"/>
      <w:lvlJc w:val="left"/>
      <w:pPr>
        <w:tabs>
          <w:tab w:val="num" w:pos="785"/>
        </w:tabs>
        <w:ind w:left="785" w:hanging="360"/>
      </w:pPr>
      <w:rPr>
        <w:b/>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4">
    <w:lvl w:ilvl="0">
      <w:start w:val="1"/>
      <w:numFmt w:val="lowerLetter"/>
      <w:lvlText w:val="%1)"/>
      <w:lvlJc w:val="left"/>
      <w:pPr>
        <w:tabs>
          <w:tab w:val="num" w:pos="644"/>
        </w:tabs>
        <w:ind w:left="644" w:hanging="360"/>
      </w:pPr>
      <w:rPr>
        <w:b/>
        <w:rFonts w:eastAsia="Times New Roman" w:cs="Calibri"/>
      </w:r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5">
    <w:lvl w:ilvl="0">
      <w:start w:val="1"/>
      <w:numFmt w:val="decimal"/>
      <w:lvlText w:val="%1."/>
      <w:lvlJc w:val="left"/>
      <w:pPr>
        <w:tabs>
          <w:tab w:val="num" w:pos="360"/>
        </w:tabs>
        <w:ind w:left="283" w:hanging="283"/>
      </w:pPr>
      <w:rPr>
        <w:rFonts w:cs="Times New Roman"/>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rPr>
        <w:i w:val="false"/>
        <w:b w:val="false"/>
        <w:bCs/>
        <w:rFonts w:eastAsia="Times New Roman" w:cs="Calibri"/>
      </w:rPr>
    </w:lvl>
    <w:lvl w:ilvl="3">
      <w:start w:val="1"/>
      <w:numFmt w:val="decimal"/>
      <w:lvlText w:val="%2.%3.%4."/>
      <w:lvlJc w:val="left"/>
      <w:pPr>
        <w:tabs>
          <w:tab w:val="num" w:pos="2880"/>
        </w:tabs>
        <w:ind w:left="2880" w:hanging="360"/>
      </w:pPr>
      <w:rPr>
        <w:rFonts w:ascii="Symbol" w:hAnsi="Symbol" w:cs="Symbol"/>
      </w:r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6">
    <w:lvl w:ilvl="0">
      <w:start w:val="1"/>
      <w:numFmt w:val="decimal"/>
      <w:lvlText w:val="%1."/>
      <w:lvlJc w:val="left"/>
      <w:pPr>
        <w:tabs>
          <w:tab w:val="num" w:pos="360"/>
        </w:tabs>
        <w:ind w:left="283" w:hanging="283"/>
      </w:pPr>
      <w:rPr>
        <w:b w:val="false"/>
        <w:bCs/>
        <w:rFonts w:eastAsia="Times New Roman" w:cs="Calibri"/>
        <w:color w:val="00000A"/>
      </w:rPr>
    </w:lvl>
    <w:lvl w:ilvl="1">
      <w:start w:val="1"/>
      <w:numFmt w:val="decimal"/>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7">
    <w:lvl w:ilvl="0">
      <w:start w:val="1"/>
      <w:numFmt w:val="decimal"/>
      <w:lvlText w:val="%1."/>
      <w:lvlJc w:val="left"/>
      <w:pPr>
        <w:tabs>
          <w:tab w:val="num" w:pos="360"/>
        </w:tabs>
        <w:ind w:left="283" w:hanging="283"/>
      </w:pPr>
      <w:rPr>
        <w:i w:val="false"/>
        <w:b w:val="false"/>
        <w:bCs/>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8">
    <w:lvl w:ilvl="0">
      <w:start w:val="1"/>
      <w:numFmt w:val="decimal"/>
      <w:lvlText w:val="%1."/>
      <w:lvlJc w:val="left"/>
      <w:pPr>
        <w:tabs>
          <w:tab w:val="num" w:pos="360"/>
        </w:tabs>
        <w:ind w:left="283" w:hanging="283"/>
      </w:pPr>
      <w:rPr>
        <w:b w:val="false"/>
        <w:bCs w:val="false"/>
        <w:rFonts w:eastAsia="Times New Roman" w:cs="Calibri"/>
        <w:color w:val="00000A"/>
      </w:rPr>
    </w:lvl>
    <w:lvl w:ilvl="1">
      <w:start w:val="1"/>
      <w:numFmt w:val="lowerLetter"/>
      <w:lvlText w:val="%2."/>
      <w:lvlJc w:val="left"/>
      <w:pPr>
        <w:tabs>
          <w:tab w:val="num" w:pos="1440"/>
        </w:tabs>
        <w:ind w:left="1440" w:hanging="360"/>
      </w:pPr>
      <w:rPr>
        <w:b w:val="false"/>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9">
    <w:lvl w:ilvl="0">
      <w:start w:val="1"/>
      <w:numFmt w:val="decimal"/>
      <w:lvlText w:val="%1."/>
      <w:lvlJc w:val="left"/>
      <w:pPr>
        <w:tabs>
          <w:tab w:val="num" w:pos="360"/>
        </w:tabs>
        <w:ind w:left="360" w:hanging="360"/>
      </w:pPr>
      <w:rPr>
        <w:i w:val="false"/>
        <w:b w:val="false"/>
        <w:bCs/>
        <w:rFonts w:eastAsia="Times New Roman" w:cs="Calibri"/>
        <w:color w:val="00000A"/>
      </w:rPr>
    </w:lvl>
    <w:lvl w:ilvl="1">
      <w:start w:val="1"/>
      <w:numFmt w:val="lowerLetter"/>
      <w:lvlText w:val="%2)"/>
      <w:lvlJc w:val="left"/>
      <w:pPr>
        <w:tabs>
          <w:tab w:val="num" w:pos="144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lvl w:ilvl="0">
      <w:start w:val="1"/>
      <w:numFmt w:val="decimal"/>
      <w:lvlText w:val="%1)"/>
      <w:lvlJc w:val="left"/>
      <w:pPr>
        <w:tabs>
          <w:tab w:val="num" w:pos="0"/>
        </w:tabs>
        <w:ind w:left="1287" w:hanging="360"/>
      </w:pPr>
      <w:rPr>
        <w:dstrike w:val="false"/>
        <w:strike w:val="false"/>
        <w:i w:val="false"/>
        <w:b w:val="false"/>
        <w:bCs w:val="false"/>
        <w:rFonts w:eastAsia="Times New Roman" w:cs="Calibri"/>
        <w:color w:val="00000A"/>
      </w:r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11">
    <w:lvl w:ilvl="0">
      <w:start w:val="1"/>
      <w:numFmt w:val="decimal"/>
      <w:lvlText w:val="%1."/>
      <w:lvlJc w:val="left"/>
      <w:pPr>
        <w:tabs>
          <w:tab w:val="num" w:pos="0"/>
        </w:tabs>
        <w:ind w:left="720" w:hanging="360"/>
      </w:pPr>
      <w:rPr>
        <w:b w:val="false"/>
        <w:bCs/>
        <w:rFonts w:eastAsia="Times New Roman" w:cs="Calibri"/>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lvl w:ilvl="0">
      <w:start w:val="1"/>
      <w:numFmt w:val="lowerLetter"/>
      <w:lvlText w:val="%1)"/>
      <w:lvlJc w:val="left"/>
      <w:pPr>
        <w:tabs>
          <w:tab w:val="num" w:pos="0"/>
        </w:tabs>
        <w:ind w:left="720" w:hanging="360"/>
      </w:pPr>
      <w:rPr>
        <w:b w:val="false"/>
        <w:bCs/>
        <w:rFonts w:eastAsia="Times New Roman" w:cs="Calibri"/>
        <w:color w:val="00000A"/>
      </w:rPr>
    </w:lvl>
    <w:lvl w:ilvl="1">
      <w:start w:val="1"/>
      <w:numFmt w:val="lowerLetter"/>
      <w:lvlText w:val="%2."/>
      <w:lvlJc w:val="left"/>
      <w:pPr>
        <w:tabs>
          <w:tab w:val="num" w:pos="0"/>
        </w:tabs>
        <w:ind w:left="1440" w:hanging="360"/>
      </w:pPr>
      <w:rPr>
        <w:b/>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lvl w:ilvl="0">
      <w:start w:val="1"/>
      <w:numFmt w:val="upperLetter"/>
      <w:lvlText w:val="%1."/>
      <w:lvlJc w:val="left"/>
      <w:pPr>
        <w:tabs>
          <w:tab w:val="num" w:pos="0"/>
        </w:tabs>
        <w:ind w:left="720" w:hanging="360"/>
      </w:pPr>
      <w:rPr>
        <w:rFonts w:cs="Calibri"/>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lvl w:ilvl="0">
      <w:start w:val="1"/>
      <w:numFmt w:val="lowerLetter"/>
      <w:lvlText w:val="%1)"/>
      <w:lvlJc w:val="left"/>
      <w:pPr>
        <w:tabs>
          <w:tab w:val="num" w:pos="0"/>
        </w:tabs>
        <w:ind w:left="720" w:hanging="360"/>
      </w:pPr>
      <w:rPr>
        <w:sz w:val="24"/>
        <w:b w:val="false"/>
        <w:szCs w:val="24"/>
        <w:bCs w:val="false"/>
        <w:rFonts w:eastAsia="Times New Roman" w:cs="Calibri"/>
        <w:color w:val="00000A"/>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7">
    <w:lvl w:ilvl="0">
      <w:start w:val="1"/>
      <w:numFmt w:val="decimal"/>
      <w:lvlText w:val="%1."/>
      <w:lvlJc w:val="left"/>
      <w:pPr>
        <w:tabs>
          <w:tab w:val="num" w:pos="0"/>
        </w:tabs>
        <w:ind w:left="720" w:hanging="360"/>
      </w:pPr>
      <w:rPr>
        <w:b w:val="false"/>
        <w:bCs/>
        <w:rFonts w:cs="Calibri"/>
      </w:rPr>
    </w:lvl>
    <w:lvl w:ilvl="1">
      <w:start w:val="1"/>
      <w:numFmt w:val="bullet"/>
      <w:lvlText w:val=""/>
      <w:lvlJc w:val="left"/>
      <w:pPr>
        <w:tabs>
          <w:tab w:val="num" w:pos="0"/>
        </w:tabs>
        <w:ind w:left="1440" w:hanging="360"/>
      </w:pPr>
      <w:rPr>
        <w:rFonts w:ascii="Symbol" w:hAnsi="Symbol" w:cs="Symbol" w:hint="default"/>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8"/>
  <w:autoHyphenation w:val="true"/>
  <w:evenAndOddHeaders/>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pl-PL" w:eastAsia="zh-CN" w:bidi="hi-IN"/>
      </w:rPr>
    </w:rPrDefault>
    <w:pPrDefault>
      <w:pPr>
        <w:suppressAutoHyphens w:val="true"/>
      </w:pPr>
    </w:pPrDefault>
  </w:docDefaults>
  <w:style w:type="paragraph" w:styleId="Normal">
    <w:name w:val="Normal"/>
    <w:qFormat/>
    <w:pPr>
      <w:widowControl/>
      <w:numPr>
        <w:ilvl w:val="0"/>
        <w:numId w:val="0"/>
      </w:numPr>
      <w:suppressAutoHyphens w:val="true"/>
      <w:kinsoku w:val="true"/>
      <w:overflowPunct w:val="true"/>
      <w:autoSpaceDE w:val="true"/>
      <w:bidi w:val="0"/>
      <w:spacing w:lineRule="atLeast" w:line="100" w:before="0" w:after="0"/>
      <w:ind w:left="0" w:right="0" w:hanging="0"/>
    </w:pPr>
    <w:rPr>
      <w:rFonts w:ascii="Calibri" w:hAnsi="Calibri" w:eastAsia="SimSun; 宋体" w:cs="Calibri"/>
      <w:color w:val="auto"/>
      <w:kern w:val="2"/>
      <w:sz w:val="24"/>
      <w:szCs w:val="24"/>
      <w:lang w:val="pl-PL" w:eastAsia="zh-CN" w:bidi="ar-SA"/>
    </w:rPr>
  </w:style>
  <w:style w:type="paragraph" w:styleId="Nagwek1">
    <w:name w:val="Heading 1"/>
    <w:basedOn w:val="Normal"/>
    <w:next w:val="Tretekstu"/>
    <w:qFormat/>
    <w:pPr>
      <w:keepNext w:val="true"/>
      <w:numPr>
        <w:ilvl w:val="0"/>
        <w:numId w:val="1"/>
      </w:numPr>
      <w:spacing w:before="240" w:after="60"/>
      <w:outlineLvl w:val="0"/>
    </w:pPr>
    <w:rPr>
      <w:rFonts w:ascii="Arial" w:hAnsi="Arial" w:cs="Arial"/>
      <w:b/>
      <w:bCs/>
      <w:kern w:val="2"/>
      <w:sz w:val="32"/>
      <w:szCs w:val="32"/>
    </w:rPr>
  </w:style>
  <w:style w:type="paragraph" w:styleId="Nagwek3">
    <w:name w:val="Heading 3"/>
    <w:basedOn w:val="Normal"/>
    <w:next w:val="Tretekstu"/>
    <w:qFormat/>
    <w:pPr>
      <w:keepNext w:val="true"/>
      <w:keepLines/>
      <w:numPr>
        <w:ilvl w:val="2"/>
        <w:numId w:val="1"/>
      </w:numPr>
      <w:spacing w:before="40" w:after="0"/>
      <w:outlineLvl w:val="2"/>
    </w:pPr>
    <w:rPr>
      <w:rFonts w:ascii="Calibri Light" w:hAnsi="Calibri Light" w:cs="Calibri Light"/>
      <w:color w:val="1F4D78"/>
    </w:rPr>
  </w:style>
  <w:style w:type="character" w:styleId="WW8Num2z0">
    <w:name w:val="WW8Num2z0"/>
    <w:qFormat/>
    <w:rPr>
      <w:rFonts w:cs="Calibri"/>
      <w:b w:val="false"/>
      <w:bCs/>
      <w:color w:val="00000A"/>
    </w:rPr>
  </w:style>
  <w:style w:type="character" w:styleId="WW8Num2z1">
    <w:name w:val="WW8Num2z1"/>
    <w:qFormat/>
    <w:rPr>
      <w:b/>
    </w:rPr>
  </w:style>
  <w:style w:type="character" w:styleId="WW8Num3z0">
    <w:name w:val="WW8Num3z0"/>
    <w:qFormat/>
    <w:rPr>
      <w:rFonts w:eastAsia="Times New Roman" w:cs="Calibri"/>
      <w:b/>
      <w:color w:val="00000A"/>
    </w:rPr>
  </w:style>
  <w:style w:type="character" w:styleId="WW8Num4z0">
    <w:name w:val="WW8Num4z0"/>
    <w:qFormat/>
    <w:rPr>
      <w:rFonts w:eastAsia="Times New Roman" w:cs="Calibri"/>
      <w:b/>
    </w:rPr>
  </w:style>
  <w:style w:type="character" w:styleId="WW8Num5z0">
    <w:name w:val="WW8Num5z0"/>
    <w:qFormat/>
    <w:rPr>
      <w:rFonts w:cs="Times New Roman"/>
    </w:rPr>
  </w:style>
  <w:style w:type="character" w:styleId="WW8Num5z2">
    <w:name w:val="WW8Num5z2"/>
    <w:qFormat/>
    <w:rPr>
      <w:rFonts w:eastAsia="Times New Roman" w:cs="Calibri"/>
      <w:b w:val="false"/>
      <w:bCs/>
      <w:i w:val="false"/>
    </w:rPr>
  </w:style>
  <w:style w:type="character" w:styleId="WW8Num5z3">
    <w:name w:val="WW8Num5z3"/>
    <w:qFormat/>
    <w:rPr>
      <w:rFonts w:ascii="Symbol" w:hAnsi="Symbol" w:cs="Symbol"/>
    </w:rPr>
  </w:style>
  <w:style w:type="character" w:styleId="WW8Num6z0">
    <w:name w:val="WW8Num6z0"/>
    <w:qFormat/>
    <w:rPr>
      <w:rFonts w:eastAsia="Times New Roman" w:cs="Calibri"/>
      <w:b w:val="false"/>
      <w:bCs/>
      <w:color w:val="00000A"/>
    </w:rPr>
  </w:style>
  <w:style w:type="character" w:styleId="WW8Num7z0">
    <w:name w:val="WW8Num7z0"/>
    <w:qFormat/>
    <w:rPr>
      <w:rFonts w:eastAsia="Times New Roman" w:cs="Calibri"/>
      <w:b w:val="false"/>
      <w:bCs/>
      <w:i w:val="false"/>
      <w:color w:val="00000A"/>
    </w:rPr>
  </w:style>
  <w:style w:type="character" w:styleId="WW8Num8z0">
    <w:name w:val="WW8Num8z0"/>
    <w:qFormat/>
    <w:rPr>
      <w:rFonts w:eastAsia="Times New Roman" w:cs="Calibri"/>
      <w:b w:val="false"/>
      <w:bCs w:val="false"/>
      <w:color w:val="00000A"/>
    </w:rPr>
  </w:style>
  <w:style w:type="character" w:styleId="WW8Num8z1">
    <w:name w:val="WW8Num8z1"/>
    <w:qFormat/>
    <w:rPr>
      <w:b w:val="false"/>
    </w:rPr>
  </w:style>
  <w:style w:type="character" w:styleId="WW8Num9z0">
    <w:name w:val="WW8Num9z0"/>
    <w:qFormat/>
    <w:rPr>
      <w:rFonts w:eastAsia="Times New Roman" w:cs="Calibri"/>
      <w:b w:val="false"/>
      <w:bCs/>
      <w:i w:val="false"/>
      <w:color w:val="00000A"/>
    </w:rPr>
  </w:style>
  <w:style w:type="character" w:styleId="WW8Num10z0">
    <w:name w:val="WW8Num10z0"/>
    <w:qFormat/>
    <w:rPr>
      <w:rFonts w:eastAsia="Times New Roman" w:cs="Calibri"/>
      <w:b w:val="false"/>
      <w:bCs w:val="false"/>
      <w:i w:val="false"/>
      <w:strike w:val="false"/>
      <w:dstrike w:val="false"/>
      <w:color w:val="00000A"/>
    </w:rPr>
  </w:style>
  <w:style w:type="character" w:styleId="WW8Num11z0">
    <w:name w:val="WW8Num11z0"/>
    <w:qFormat/>
    <w:rPr>
      <w:rFonts w:eastAsia="Times New Roman" w:cs="Calibri"/>
      <w:b w:val="false"/>
      <w:bCs/>
      <w:color w:val="00000A"/>
    </w:rPr>
  </w:style>
  <w:style w:type="character" w:styleId="WW8Num12z0">
    <w:name w:val="WW8Num12z0"/>
    <w:qFormat/>
    <w:rPr>
      <w:rFonts w:eastAsia="Times New Roman" w:cs="Calibri"/>
      <w:b w:val="false"/>
      <w:bCs/>
      <w:color w:val="00000A"/>
    </w:rPr>
  </w:style>
  <w:style w:type="character" w:styleId="WW8Num12z1">
    <w:name w:val="WW8Num12z1"/>
    <w:qFormat/>
    <w:rPr>
      <w:b/>
    </w:rPr>
  </w:style>
  <w:style w:type="character" w:styleId="WW8Num13z0">
    <w:name w:val="WW8Num13z0"/>
    <w:qFormat/>
    <w:rPr>
      <w:rFonts w:cs="Calibri"/>
    </w:rPr>
  </w:style>
  <w:style w:type="character" w:styleId="WW8Num14z0">
    <w:name w:val="WW8Num14z0"/>
    <w:qFormat/>
    <w:rPr>
      <w:rFonts w:eastAsia="Times New Roman" w:cs="Calibri"/>
      <w:b w:val="false"/>
      <w:bCs w:val="false"/>
      <w:color w:val="00000A"/>
      <w:sz w:val="24"/>
      <w:szCs w:val="24"/>
    </w:rPr>
  </w:style>
  <w:style w:type="character" w:styleId="WW8Num16z0">
    <w:name w:val="WW8Num16z0"/>
    <w:qFormat/>
    <w:rPr>
      <w:rFonts w:cs="Times New Roman"/>
    </w:rPr>
  </w:style>
  <w:style w:type="character" w:styleId="WW8Num17z0">
    <w:name w:val="WW8Num17z0"/>
    <w:qFormat/>
    <w:rPr>
      <w:rFonts w:cs="Calibri"/>
      <w:b w:val="false"/>
      <w:bCs/>
    </w:rPr>
  </w:style>
  <w:style w:type="character" w:styleId="WW8Num17z1">
    <w:name w:val="WW8Num17z1"/>
    <w:qFormat/>
    <w:rPr>
      <w:rFonts w:ascii="Symbol" w:hAnsi="Symbol" w:cs="Symbol"/>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1">
    <w:name w:val="WW8Num5z1"/>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1">
    <w:name w:val="WW8Num6z1"/>
    <w:qFormat/>
    <w:rPr/>
  </w:style>
  <w:style w:type="character" w:styleId="WW8Num6z2">
    <w:name w:val="WW8Num6z2"/>
    <w:qFormat/>
    <w:rPr/>
  </w:style>
  <w:style w:type="character" w:styleId="WW8Num6z3">
    <w:name w:val="WW8Num6z3"/>
    <w:qFormat/>
    <w:rPr/>
  </w:style>
  <w:style w:type="character" w:styleId="WW8Num6z4">
    <w:name w:val="WW8Num6z4"/>
    <w:qFormat/>
    <w:rPr/>
  </w:style>
  <w:style w:type="character" w:styleId="WW8Num6z5">
    <w:name w:val="WW8Num6z5"/>
    <w:qFormat/>
    <w:rPr/>
  </w:style>
  <w:style w:type="character" w:styleId="WW8Num6z6">
    <w:name w:val="WW8Num6z6"/>
    <w:qFormat/>
    <w:rPr/>
  </w:style>
  <w:style w:type="character" w:styleId="WW8Num6z7">
    <w:name w:val="WW8Num6z7"/>
    <w:qFormat/>
    <w:rPr/>
  </w:style>
  <w:style w:type="character" w:styleId="WW8Num6z8">
    <w:name w:val="WW8Num6z8"/>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WW8Num8z2">
    <w:name w:val="WW8Num8z2"/>
    <w:qFormat/>
    <w:rPr/>
  </w:style>
  <w:style w:type="character" w:styleId="WW8Num8z3">
    <w:name w:val="WW8Num8z3"/>
    <w:qFormat/>
    <w:rPr/>
  </w:style>
  <w:style w:type="character" w:styleId="WW8Num8z4">
    <w:name w:val="WW8Num8z4"/>
    <w:qFormat/>
    <w:rPr/>
  </w:style>
  <w:style w:type="character" w:styleId="WW8Num8z5">
    <w:name w:val="WW8Num8z5"/>
    <w:qFormat/>
    <w:rPr/>
  </w:style>
  <w:style w:type="character" w:styleId="WW8Num8z6">
    <w:name w:val="WW8Num8z6"/>
    <w:qFormat/>
    <w:rPr/>
  </w:style>
  <w:style w:type="character" w:styleId="WW8Num8z7">
    <w:name w:val="WW8Num8z7"/>
    <w:qFormat/>
    <w:rPr/>
  </w:style>
  <w:style w:type="character" w:styleId="WW8Num8z8">
    <w:name w:val="WW8Num8z8"/>
    <w:qFormat/>
    <w:rPr/>
  </w:style>
  <w:style w:type="character" w:styleId="WW8Num9z1">
    <w:name w:val="WW8Num9z1"/>
    <w:qFormat/>
    <w:rPr/>
  </w:style>
  <w:style w:type="character" w:styleId="WW8Num9z2">
    <w:name w:val="WW8Num9z2"/>
    <w:qFormat/>
    <w:rPr/>
  </w:style>
  <w:style w:type="character" w:styleId="WW8Num9z3">
    <w:name w:val="WW8Num9z3"/>
    <w:qFormat/>
    <w:rPr/>
  </w:style>
  <w:style w:type="character" w:styleId="WW8Num9z4">
    <w:name w:val="WW8Num9z4"/>
    <w:qFormat/>
    <w:rPr/>
  </w:style>
  <w:style w:type="character" w:styleId="WW8Num9z5">
    <w:name w:val="WW8Num9z5"/>
    <w:qFormat/>
    <w:rPr/>
  </w:style>
  <w:style w:type="character" w:styleId="WW8Num9z6">
    <w:name w:val="WW8Num9z6"/>
    <w:qFormat/>
    <w:rPr/>
  </w:style>
  <w:style w:type="character" w:styleId="WW8Num9z7">
    <w:name w:val="WW8Num9z7"/>
    <w:qFormat/>
    <w:rPr/>
  </w:style>
  <w:style w:type="character" w:styleId="WW8Num9z8">
    <w:name w:val="WW8Num9z8"/>
    <w:qFormat/>
    <w:rPr/>
  </w:style>
  <w:style w:type="character" w:styleId="WW8Num10z1">
    <w:name w:val="WW8Num10z1"/>
    <w:qFormat/>
    <w:rPr/>
  </w:style>
  <w:style w:type="character" w:styleId="WW8Num10z2">
    <w:name w:val="WW8Num10z2"/>
    <w:qFormat/>
    <w:rPr/>
  </w:style>
  <w:style w:type="character" w:styleId="WW8Num10z3">
    <w:name w:val="WW8Num10z3"/>
    <w:qFormat/>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1">
    <w:name w:val="WW8Num11z1"/>
    <w:qFormat/>
    <w:rPr/>
  </w:style>
  <w:style w:type="character" w:styleId="WW8Num11z2">
    <w:name w:val="WW8Num11z2"/>
    <w:qFormat/>
    <w:rPr/>
  </w:style>
  <w:style w:type="character" w:styleId="WW8Num11z3">
    <w:name w:val="WW8Num11z3"/>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WW8Num12z2">
    <w:name w:val="WW8Num12z2"/>
    <w:qFormat/>
    <w:rPr/>
  </w:style>
  <w:style w:type="character" w:styleId="WW8Num12z3">
    <w:name w:val="WW8Num12z3"/>
    <w:qFormat/>
    <w:rPr/>
  </w:style>
  <w:style w:type="character" w:styleId="WW8Num12z4">
    <w:name w:val="WW8Num12z4"/>
    <w:qFormat/>
    <w:rPr/>
  </w:style>
  <w:style w:type="character" w:styleId="WW8Num12z5">
    <w:name w:val="WW8Num12z5"/>
    <w:qFormat/>
    <w:rPr/>
  </w:style>
  <w:style w:type="character" w:styleId="WW8Num12z6">
    <w:name w:val="WW8Num12z6"/>
    <w:qFormat/>
    <w:rPr/>
  </w:style>
  <w:style w:type="character" w:styleId="WW8Num12z7">
    <w:name w:val="WW8Num12z7"/>
    <w:qFormat/>
    <w:rPr/>
  </w:style>
  <w:style w:type="character" w:styleId="WW8Num12z8">
    <w:name w:val="WW8Num12z8"/>
    <w:qFormat/>
    <w:rPr/>
  </w:style>
  <w:style w:type="character" w:styleId="WW8Num13z1">
    <w:name w:val="WW8Num13z1"/>
    <w:qFormat/>
    <w:rPr/>
  </w:style>
  <w:style w:type="character" w:styleId="WW8Num13z2">
    <w:name w:val="WW8Num13z2"/>
    <w:qFormat/>
    <w:rPr/>
  </w:style>
  <w:style w:type="character" w:styleId="WW8Num13z3">
    <w:name w:val="WW8Num13z3"/>
    <w:qFormat/>
    <w:rPr/>
  </w:style>
  <w:style w:type="character" w:styleId="WW8Num13z4">
    <w:name w:val="WW8Num13z4"/>
    <w:qFormat/>
    <w:rPr/>
  </w:style>
  <w:style w:type="character" w:styleId="WW8Num13z5">
    <w:name w:val="WW8Num13z5"/>
    <w:qFormat/>
    <w:rPr/>
  </w:style>
  <w:style w:type="character" w:styleId="WW8Num13z6">
    <w:name w:val="WW8Num13z6"/>
    <w:qFormat/>
    <w:rPr/>
  </w:style>
  <w:style w:type="character" w:styleId="WW8Num13z7">
    <w:name w:val="WW8Num13z7"/>
    <w:qFormat/>
    <w:rPr/>
  </w:style>
  <w:style w:type="character" w:styleId="WW8Num13z8">
    <w:name w:val="WW8Num13z8"/>
    <w:qFormat/>
    <w:rPr/>
  </w:style>
  <w:style w:type="character" w:styleId="WW8Num14z1">
    <w:name w:val="WW8Num14z1"/>
    <w:qFormat/>
    <w:rPr/>
  </w:style>
  <w:style w:type="character" w:styleId="WW8Num14z2">
    <w:name w:val="WW8Num14z2"/>
    <w:qFormat/>
    <w:rPr/>
  </w:style>
  <w:style w:type="character" w:styleId="WW8Num14z3">
    <w:name w:val="WW8Num14z3"/>
    <w:qFormat/>
    <w:rPr/>
  </w:style>
  <w:style w:type="character" w:styleId="WW8Num14z4">
    <w:name w:val="WW8Num14z4"/>
    <w:qFormat/>
    <w:rPr/>
  </w:style>
  <w:style w:type="character" w:styleId="WW8Num14z5">
    <w:name w:val="WW8Num14z5"/>
    <w:qFormat/>
    <w:rPr/>
  </w:style>
  <w:style w:type="character" w:styleId="WW8Num14z6">
    <w:name w:val="WW8Num14z6"/>
    <w:qFormat/>
    <w:rPr/>
  </w:style>
  <w:style w:type="character" w:styleId="WW8Num14z7">
    <w:name w:val="WW8Num14z7"/>
    <w:qFormat/>
    <w:rPr/>
  </w:style>
  <w:style w:type="character" w:styleId="WW8Num14z8">
    <w:name w:val="WW8Num14z8"/>
    <w:qFormat/>
    <w:rPr/>
  </w:style>
  <w:style w:type="character" w:styleId="WW8Num15z0">
    <w:name w:val="WW8Num15z0"/>
    <w:qFormat/>
    <w:rPr/>
  </w:style>
  <w:style w:type="character" w:styleId="WW8Num15z1">
    <w:name w:val="WW8Num15z1"/>
    <w:qFormat/>
    <w:rPr/>
  </w:style>
  <w:style w:type="character" w:styleId="WW8Num15z2">
    <w:name w:val="WW8Num15z2"/>
    <w:qFormat/>
    <w:rPr/>
  </w:style>
  <w:style w:type="character" w:styleId="WW8Num15z3">
    <w:name w:val="WW8Num15z3"/>
    <w:qFormat/>
    <w:rPr/>
  </w:style>
  <w:style w:type="character" w:styleId="WW8Num15z4">
    <w:name w:val="WW8Num15z4"/>
    <w:qFormat/>
    <w:rPr/>
  </w:style>
  <w:style w:type="character" w:styleId="WW8Num15z5">
    <w:name w:val="WW8Num15z5"/>
    <w:qFormat/>
    <w:rPr/>
  </w:style>
  <w:style w:type="character" w:styleId="WW8Num15z6">
    <w:name w:val="WW8Num15z6"/>
    <w:qFormat/>
    <w:rPr/>
  </w:style>
  <w:style w:type="character" w:styleId="WW8Num15z7">
    <w:name w:val="WW8Num15z7"/>
    <w:qFormat/>
    <w:rPr/>
  </w:style>
  <w:style w:type="character" w:styleId="WW8Num15z8">
    <w:name w:val="WW8Num15z8"/>
    <w:qFormat/>
    <w:rPr/>
  </w:style>
  <w:style w:type="character" w:styleId="WW8Num16z1">
    <w:name w:val="WW8Num16z1"/>
    <w:qFormat/>
    <w:rPr/>
  </w:style>
  <w:style w:type="character" w:styleId="WW8Num16z2">
    <w:name w:val="WW8Num16z2"/>
    <w:qFormat/>
    <w:rPr/>
  </w:style>
  <w:style w:type="character" w:styleId="WW8Num16z3">
    <w:name w:val="WW8Num16z3"/>
    <w:qFormat/>
    <w:rPr/>
  </w:style>
  <w:style w:type="character" w:styleId="WW8Num16z4">
    <w:name w:val="WW8Num16z4"/>
    <w:qFormat/>
    <w:rPr/>
  </w:style>
  <w:style w:type="character" w:styleId="WW8Num16z5">
    <w:name w:val="WW8Num16z5"/>
    <w:qFormat/>
    <w:rPr/>
  </w:style>
  <w:style w:type="character" w:styleId="WW8Num16z6">
    <w:name w:val="WW8Num16z6"/>
    <w:qFormat/>
    <w:rPr/>
  </w:style>
  <w:style w:type="character" w:styleId="WW8Num16z7">
    <w:name w:val="WW8Num16z7"/>
    <w:qFormat/>
    <w:rPr/>
  </w:style>
  <w:style w:type="character" w:styleId="WW8Num16z8">
    <w:name w:val="WW8Num16z8"/>
    <w:qFormat/>
    <w:rPr/>
  </w:style>
  <w:style w:type="character" w:styleId="WW8Num17z2">
    <w:name w:val="WW8Num17z2"/>
    <w:qFormat/>
    <w:rPr/>
  </w:style>
  <w:style w:type="character" w:styleId="WW8Num17z3">
    <w:name w:val="WW8Num17z3"/>
    <w:qFormat/>
    <w:rPr/>
  </w:style>
  <w:style w:type="character" w:styleId="WW8Num17z4">
    <w:name w:val="WW8Num17z4"/>
    <w:qFormat/>
    <w:rPr/>
  </w:style>
  <w:style w:type="character" w:styleId="WW8Num17z5">
    <w:name w:val="WW8Num17z5"/>
    <w:qFormat/>
    <w:rPr/>
  </w:style>
  <w:style w:type="character" w:styleId="WW8Num17z6">
    <w:name w:val="WW8Num17z6"/>
    <w:qFormat/>
    <w:rPr/>
  </w:style>
  <w:style w:type="character" w:styleId="WW8Num17z7">
    <w:name w:val="WW8Num17z7"/>
    <w:qFormat/>
    <w:rPr/>
  </w:style>
  <w:style w:type="character" w:styleId="WW8Num17z8">
    <w:name w:val="WW8Num17z8"/>
    <w:qFormat/>
    <w:rPr/>
  </w:style>
  <w:style w:type="character" w:styleId="WW8Num18z0">
    <w:name w:val="WW8Num18z0"/>
    <w:qFormat/>
    <w:rPr>
      <w:rFonts w:cs="Calibri"/>
    </w:rPr>
  </w:style>
  <w:style w:type="character" w:styleId="WW8Num18z1">
    <w:name w:val="WW8Num18z1"/>
    <w:qFormat/>
    <w:rPr/>
  </w:style>
  <w:style w:type="character" w:styleId="WW8Num18z2">
    <w:name w:val="WW8Num18z2"/>
    <w:qFormat/>
    <w:rPr/>
  </w:style>
  <w:style w:type="character" w:styleId="WW8Num18z3">
    <w:name w:val="WW8Num18z3"/>
    <w:qFormat/>
    <w:rPr/>
  </w:style>
  <w:style w:type="character" w:styleId="WW8Num18z4">
    <w:name w:val="WW8Num18z4"/>
    <w:qFormat/>
    <w:rPr/>
  </w:style>
  <w:style w:type="character" w:styleId="WW8Num18z5">
    <w:name w:val="WW8Num18z5"/>
    <w:qFormat/>
    <w:rPr/>
  </w:style>
  <w:style w:type="character" w:styleId="WW8Num18z6">
    <w:name w:val="WW8Num18z6"/>
    <w:qFormat/>
    <w:rPr/>
  </w:style>
  <w:style w:type="character" w:styleId="WW8Num18z7">
    <w:name w:val="WW8Num18z7"/>
    <w:qFormat/>
    <w:rPr/>
  </w:style>
  <w:style w:type="character" w:styleId="WW8Num18z8">
    <w:name w:val="WW8Num18z8"/>
    <w:qFormat/>
    <w:rPr/>
  </w:style>
  <w:style w:type="character" w:styleId="WW8Num19z0">
    <w:name w:val="WW8Num19z0"/>
    <w:qFormat/>
    <w:rPr/>
  </w:style>
  <w:style w:type="character" w:styleId="WW8Num19z1">
    <w:name w:val="WW8Num19z1"/>
    <w:qFormat/>
    <w:rPr/>
  </w:style>
  <w:style w:type="character" w:styleId="WW8Num19z2">
    <w:name w:val="WW8Num19z2"/>
    <w:qFormat/>
    <w:rPr/>
  </w:style>
  <w:style w:type="character" w:styleId="WW8Num19z3">
    <w:name w:val="WW8Num19z3"/>
    <w:qFormat/>
    <w:rPr/>
  </w:style>
  <w:style w:type="character" w:styleId="WW8Num19z4">
    <w:name w:val="WW8Num19z4"/>
    <w:qFormat/>
    <w:rPr/>
  </w:style>
  <w:style w:type="character" w:styleId="WW8Num19z5">
    <w:name w:val="WW8Num19z5"/>
    <w:qFormat/>
    <w:rPr/>
  </w:style>
  <w:style w:type="character" w:styleId="WW8Num19z6">
    <w:name w:val="WW8Num19z6"/>
    <w:qFormat/>
    <w:rPr/>
  </w:style>
  <w:style w:type="character" w:styleId="WW8Num19z7">
    <w:name w:val="WW8Num19z7"/>
    <w:qFormat/>
    <w:rPr/>
  </w:style>
  <w:style w:type="character" w:styleId="WW8Num19z8">
    <w:name w:val="WW8Num19z8"/>
    <w:qFormat/>
    <w:rPr/>
  </w:style>
  <w:style w:type="character" w:styleId="WW8Num20z0">
    <w:name w:val="WW8Num20z0"/>
    <w:qFormat/>
    <w:rPr>
      <w:rFonts w:cs="Calibri"/>
    </w:rPr>
  </w:style>
  <w:style w:type="character" w:styleId="WW8Num20z1">
    <w:name w:val="WW8Num20z1"/>
    <w:qFormat/>
    <w:rPr/>
  </w:style>
  <w:style w:type="character" w:styleId="WW8Num20z2">
    <w:name w:val="WW8Num20z2"/>
    <w:qFormat/>
    <w:rPr/>
  </w:style>
  <w:style w:type="character" w:styleId="WW8Num20z3">
    <w:name w:val="WW8Num20z3"/>
    <w:qFormat/>
    <w:rPr/>
  </w:style>
  <w:style w:type="character" w:styleId="WW8Num20z4">
    <w:name w:val="WW8Num20z4"/>
    <w:qFormat/>
    <w:rPr/>
  </w:style>
  <w:style w:type="character" w:styleId="WW8Num20z5">
    <w:name w:val="WW8Num20z5"/>
    <w:qFormat/>
    <w:rPr/>
  </w:style>
  <w:style w:type="character" w:styleId="WW8Num20z6">
    <w:name w:val="WW8Num20z6"/>
    <w:qFormat/>
    <w:rPr/>
  </w:style>
  <w:style w:type="character" w:styleId="WW8Num20z7">
    <w:name w:val="WW8Num20z7"/>
    <w:qFormat/>
    <w:rPr/>
  </w:style>
  <w:style w:type="character" w:styleId="WW8Num20z8">
    <w:name w:val="WW8Num20z8"/>
    <w:qFormat/>
    <w:rPr/>
  </w:style>
  <w:style w:type="character" w:styleId="WW8Num21z0">
    <w:name w:val="WW8Num21z0"/>
    <w:qFormat/>
    <w:rPr/>
  </w:style>
  <w:style w:type="character" w:styleId="WW8Num21z1">
    <w:name w:val="WW8Num21z1"/>
    <w:qFormat/>
    <w:rPr/>
  </w:style>
  <w:style w:type="character" w:styleId="WW8Num21z2">
    <w:name w:val="WW8Num21z2"/>
    <w:qFormat/>
    <w:rPr/>
  </w:style>
  <w:style w:type="character" w:styleId="WW8Num21z3">
    <w:name w:val="WW8Num21z3"/>
    <w:qFormat/>
    <w:rPr/>
  </w:style>
  <w:style w:type="character" w:styleId="WW8Num21z4">
    <w:name w:val="WW8Num21z4"/>
    <w:qFormat/>
    <w:rPr/>
  </w:style>
  <w:style w:type="character" w:styleId="WW8Num21z5">
    <w:name w:val="WW8Num21z5"/>
    <w:qFormat/>
    <w:rPr/>
  </w:style>
  <w:style w:type="character" w:styleId="WW8Num21z6">
    <w:name w:val="WW8Num21z6"/>
    <w:qFormat/>
    <w:rPr/>
  </w:style>
  <w:style w:type="character" w:styleId="WW8Num21z7">
    <w:name w:val="WW8Num21z7"/>
    <w:qFormat/>
    <w:rPr/>
  </w:style>
  <w:style w:type="character" w:styleId="WW8Num21z8">
    <w:name w:val="WW8Num21z8"/>
    <w:qFormat/>
    <w:rPr/>
  </w:style>
  <w:style w:type="character" w:styleId="WW8Num22z0">
    <w:name w:val="WW8Num22z0"/>
    <w:qFormat/>
    <w:rPr>
      <w:rFonts w:eastAsia="Times New Roman" w:cs="Calibri"/>
    </w:rPr>
  </w:style>
  <w:style w:type="character" w:styleId="WW8Num22z1">
    <w:name w:val="WW8Num22z1"/>
    <w:qFormat/>
    <w:rPr/>
  </w:style>
  <w:style w:type="character" w:styleId="WW8Num22z2">
    <w:name w:val="WW8Num22z2"/>
    <w:qFormat/>
    <w:rPr/>
  </w:style>
  <w:style w:type="character" w:styleId="WW8Num22z3">
    <w:name w:val="WW8Num22z3"/>
    <w:qFormat/>
    <w:rPr/>
  </w:style>
  <w:style w:type="character" w:styleId="WW8Num22z4">
    <w:name w:val="WW8Num22z4"/>
    <w:qFormat/>
    <w:rPr/>
  </w:style>
  <w:style w:type="character" w:styleId="WW8Num22z5">
    <w:name w:val="WW8Num22z5"/>
    <w:qFormat/>
    <w:rPr/>
  </w:style>
  <w:style w:type="character" w:styleId="WW8Num22z6">
    <w:name w:val="WW8Num22z6"/>
    <w:qFormat/>
    <w:rPr/>
  </w:style>
  <w:style w:type="character" w:styleId="WW8Num22z7">
    <w:name w:val="WW8Num22z7"/>
    <w:qFormat/>
    <w:rPr/>
  </w:style>
  <w:style w:type="character" w:styleId="WW8Num22z8">
    <w:name w:val="WW8Num22z8"/>
    <w:qFormat/>
    <w:rPr/>
  </w:style>
  <w:style w:type="character" w:styleId="WW8Num23z0">
    <w:name w:val="WW8Num23z0"/>
    <w:qFormat/>
    <w:rPr>
      <w:rFonts w:ascii="Times New Roman" w:hAnsi="Times New Roman" w:cs="Times New Roman"/>
      <w:sz w:val="20"/>
      <w:szCs w:val="20"/>
    </w:rPr>
  </w:style>
  <w:style w:type="character" w:styleId="WW8Num23z1">
    <w:name w:val="WW8Num23z1"/>
    <w:qFormat/>
    <w:rPr/>
  </w:style>
  <w:style w:type="character" w:styleId="WW8Num23z2">
    <w:name w:val="WW8Num23z2"/>
    <w:qFormat/>
    <w:rPr/>
  </w:style>
  <w:style w:type="character" w:styleId="WW8Num23z3">
    <w:name w:val="WW8Num23z3"/>
    <w:qFormat/>
    <w:rPr/>
  </w:style>
  <w:style w:type="character" w:styleId="WW8Num23z4">
    <w:name w:val="WW8Num23z4"/>
    <w:qFormat/>
    <w:rPr/>
  </w:style>
  <w:style w:type="character" w:styleId="WW8Num23z5">
    <w:name w:val="WW8Num23z5"/>
    <w:qFormat/>
    <w:rPr/>
  </w:style>
  <w:style w:type="character" w:styleId="WW8Num23z6">
    <w:name w:val="WW8Num23z6"/>
    <w:qFormat/>
    <w:rPr/>
  </w:style>
  <w:style w:type="character" w:styleId="WW8Num23z7">
    <w:name w:val="WW8Num23z7"/>
    <w:qFormat/>
    <w:rPr/>
  </w:style>
  <w:style w:type="character" w:styleId="WW8Num23z8">
    <w:name w:val="WW8Num23z8"/>
    <w:qFormat/>
    <w:rPr/>
  </w:style>
  <w:style w:type="character" w:styleId="WW8Num24z0">
    <w:name w:val="WW8Num24z0"/>
    <w:qFormat/>
    <w:rPr/>
  </w:style>
  <w:style w:type="character" w:styleId="WW8Num24z1">
    <w:name w:val="WW8Num24z1"/>
    <w:qFormat/>
    <w:rPr>
      <w:rFonts w:ascii="Symbol" w:hAnsi="Symbol" w:cs="Symbol"/>
    </w:rPr>
  </w:style>
  <w:style w:type="character" w:styleId="WW8Num24z2">
    <w:name w:val="WW8Num24z2"/>
    <w:qFormat/>
    <w:rPr/>
  </w:style>
  <w:style w:type="character" w:styleId="WW8Num24z3">
    <w:name w:val="WW8Num24z3"/>
    <w:qFormat/>
    <w:rPr/>
  </w:style>
  <w:style w:type="character" w:styleId="WW8Num24z4">
    <w:name w:val="WW8Num24z4"/>
    <w:qFormat/>
    <w:rPr/>
  </w:style>
  <w:style w:type="character" w:styleId="WW8Num24z5">
    <w:name w:val="WW8Num24z5"/>
    <w:qFormat/>
    <w:rPr/>
  </w:style>
  <w:style w:type="character" w:styleId="WW8Num24z6">
    <w:name w:val="WW8Num24z6"/>
    <w:qFormat/>
    <w:rPr/>
  </w:style>
  <w:style w:type="character" w:styleId="WW8Num24z7">
    <w:name w:val="WW8Num24z7"/>
    <w:qFormat/>
    <w:rPr/>
  </w:style>
  <w:style w:type="character" w:styleId="WW8Num24z8">
    <w:name w:val="WW8Num24z8"/>
    <w:qFormat/>
    <w:rPr/>
  </w:style>
  <w:style w:type="character" w:styleId="WW8Num25z0">
    <w:name w:val="WW8Num25z0"/>
    <w:qFormat/>
    <w:rPr/>
  </w:style>
  <w:style w:type="character" w:styleId="WW8Num25z1">
    <w:name w:val="WW8Num25z1"/>
    <w:qFormat/>
    <w:rPr/>
  </w:style>
  <w:style w:type="character" w:styleId="WW8Num25z2">
    <w:name w:val="WW8Num25z2"/>
    <w:qFormat/>
    <w:rPr/>
  </w:style>
  <w:style w:type="character" w:styleId="WW8Num25z3">
    <w:name w:val="WW8Num25z3"/>
    <w:qFormat/>
    <w:rPr/>
  </w:style>
  <w:style w:type="character" w:styleId="WW8Num25z4">
    <w:name w:val="WW8Num25z4"/>
    <w:qFormat/>
    <w:rPr/>
  </w:style>
  <w:style w:type="character" w:styleId="WW8Num25z5">
    <w:name w:val="WW8Num25z5"/>
    <w:qFormat/>
    <w:rPr/>
  </w:style>
  <w:style w:type="character" w:styleId="WW8Num25z6">
    <w:name w:val="WW8Num25z6"/>
    <w:qFormat/>
    <w:rPr/>
  </w:style>
  <w:style w:type="character" w:styleId="WW8Num25z7">
    <w:name w:val="WW8Num25z7"/>
    <w:qFormat/>
    <w:rPr/>
  </w:style>
  <w:style w:type="character" w:styleId="WW8Num25z8">
    <w:name w:val="WW8Num25z8"/>
    <w:qFormat/>
    <w:rPr/>
  </w:style>
  <w:style w:type="character" w:styleId="WW8Num26z0">
    <w:name w:val="WW8Num26z0"/>
    <w:qFormat/>
    <w:rPr/>
  </w:style>
  <w:style w:type="character" w:styleId="WW8Num26z1">
    <w:name w:val="WW8Num26z1"/>
    <w:qFormat/>
    <w:rPr/>
  </w:style>
  <w:style w:type="character" w:styleId="WW8Num26z2">
    <w:name w:val="WW8Num26z2"/>
    <w:qFormat/>
    <w:rPr/>
  </w:style>
  <w:style w:type="character" w:styleId="WW8Num26z3">
    <w:name w:val="WW8Num26z3"/>
    <w:qFormat/>
    <w:rPr/>
  </w:style>
  <w:style w:type="character" w:styleId="WW8Num26z4">
    <w:name w:val="WW8Num26z4"/>
    <w:qFormat/>
    <w:rPr/>
  </w:style>
  <w:style w:type="character" w:styleId="WW8Num26z5">
    <w:name w:val="WW8Num26z5"/>
    <w:qFormat/>
    <w:rPr/>
  </w:style>
  <w:style w:type="character" w:styleId="WW8Num26z6">
    <w:name w:val="WW8Num26z6"/>
    <w:qFormat/>
    <w:rPr/>
  </w:style>
  <w:style w:type="character" w:styleId="WW8Num26z7">
    <w:name w:val="WW8Num26z7"/>
    <w:qFormat/>
    <w:rPr/>
  </w:style>
  <w:style w:type="character" w:styleId="WW8Num26z8">
    <w:name w:val="WW8Num26z8"/>
    <w:qFormat/>
    <w:rPr/>
  </w:style>
  <w:style w:type="character" w:styleId="DefaultParagraphFont">
    <w:name w:val="Default Paragraph Font"/>
    <w:qFormat/>
    <w:rPr/>
  </w:style>
  <w:style w:type="character" w:styleId="Nagwek1Znak">
    <w:name w:val="Nagłówek 1 Znak"/>
    <w:basedOn w:val="DefaultParagraphFont"/>
    <w:qFormat/>
    <w:rPr>
      <w:rFonts w:ascii="Arial" w:hAnsi="Arial" w:eastAsia="Times New Roman" w:cs="Arial"/>
      <w:b/>
      <w:bCs/>
      <w:kern w:val="2"/>
      <w:sz w:val="32"/>
      <w:szCs w:val="32"/>
      <w:lang w:eastAsia="pl-PL"/>
    </w:rPr>
  </w:style>
  <w:style w:type="character" w:styleId="Nagwek3Znak">
    <w:name w:val="Nagłówek 3 Znak"/>
    <w:basedOn w:val="DefaultParagraphFont"/>
    <w:qFormat/>
    <w:rPr>
      <w:rFonts w:ascii="Calibri Light" w:hAnsi="Calibri Light" w:cs="Calibri Light"/>
      <w:color w:val="1F4D78"/>
      <w:sz w:val="24"/>
      <w:szCs w:val="24"/>
      <w:lang w:eastAsia="pl-PL"/>
    </w:rPr>
  </w:style>
  <w:style w:type="character" w:styleId="NagwekZnak">
    <w:name w:val="Nagłówek Znak"/>
    <w:basedOn w:val="DefaultParagraphFont"/>
    <w:qFormat/>
    <w:rPr>
      <w:rFonts w:ascii="Times New Roman" w:hAnsi="Times New Roman" w:eastAsia="Times New Roman" w:cs="Times New Roman"/>
      <w:sz w:val="24"/>
      <w:szCs w:val="24"/>
      <w:lang w:eastAsia="pl-PL"/>
    </w:rPr>
  </w:style>
  <w:style w:type="character" w:styleId="StopkaZnak">
    <w:name w:val="Stopka Znak"/>
    <w:basedOn w:val="DefaultParagraphFont"/>
    <w:qFormat/>
    <w:rPr>
      <w:rFonts w:ascii="Times New Roman" w:hAnsi="Times New Roman" w:eastAsia="Times New Roman" w:cs="Times New Roman"/>
      <w:sz w:val="24"/>
      <w:szCs w:val="24"/>
      <w:lang w:eastAsia="pl-PL"/>
    </w:rPr>
  </w:style>
  <w:style w:type="character" w:styleId="Pagenumber">
    <w:name w:val="page number"/>
    <w:basedOn w:val="DefaultParagraphFont"/>
    <w:qFormat/>
    <w:rPr/>
  </w:style>
  <w:style w:type="character" w:styleId="TekstprzypisudolnegoZnak">
    <w:name w:val="Tekst przypisu dolnego Znak"/>
    <w:basedOn w:val="DefaultParagraphFont"/>
    <w:qFormat/>
    <w:rPr>
      <w:rFonts w:ascii="Times New Roman" w:hAnsi="Times New Roman" w:eastAsia="Times New Roman" w:cs="Times New Roman"/>
      <w:sz w:val="20"/>
      <w:szCs w:val="20"/>
      <w:lang w:eastAsia="pl-PL"/>
    </w:rPr>
  </w:style>
  <w:style w:type="character" w:styleId="Tekstpodstawowy2Znak">
    <w:name w:val="Tekst podstawowy 2 Znak"/>
    <w:basedOn w:val="DefaultParagraphFont"/>
    <w:qFormat/>
    <w:rPr>
      <w:rFonts w:ascii="Gill Sans CE" w:hAnsi="Gill Sans CE" w:eastAsia="Times New Roman" w:cs="Arial"/>
      <w:sz w:val="24"/>
      <w:szCs w:val="24"/>
      <w:lang w:eastAsia="pl-PL"/>
    </w:rPr>
  </w:style>
  <w:style w:type="character" w:styleId="Czeinternetowe">
    <w:name w:val="Łącze internetowe"/>
    <w:basedOn w:val="DefaultParagraphFont"/>
    <w:rPr>
      <w:color w:val="0563C1"/>
      <w:u w:val="single"/>
      <w:lang w:val="zxx" w:eastAsia="zxx" w:bidi="zxx"/>
    </w:rPr>
  </w:style>
  <w:style w:type="character" w:styleId="TekstdymkaZnak">
    <w:name w:val="Tekst dymka Znak"/>
    <w:basedOn w:val="DefaultParagraphFont"/>
    <w:qFormat/>
    <w:rPr>
      <w:rFonts w:ascii="Segoe UI" w:hAnsi="Segoe UI" w:eastAsia="Times New Roman" w:cs="Segoe UI"/>
      <w:sz w:val="18"/>
      <w:szCs w:val="18"/>
      <w:lang w:eastAsia="pl-PL"/>
    </w:rPr>
  </w:style>
  <w:style w:type="character" w:styleId="AkapitzlistZnak">
    <w:name w:val="Akapit z listą Znak"/>
    <w:qFormat/>
    <w:rPr>
      <w:rFonts w:ascii="Calibri" w:hAnsi="Calibri" w:eastAsia="Calibri" w:cs="Times New Roman"/>
      <w:kern w:val="2"/>
      <w:lang w:val="en-US" w:eastAsia="zh-CN"/>
    </w:rPr>
  </w:style>
  <w:style w:type="character" w:styleId="TekstprzypisukocowegoZnak">
    <w:name w:val="Tekst przypisu końcowego Znak"/>
    <w:basedOn w:val="DefaultParagraphFont"/>
    <w:qFormat/>
    <w:rPr>
      <w:rFonts w:ascii="Times New Roman" w:hAnsi="Times New Roman" w:eastAsia="Times New Roman" w:cs="Times New Roman"/>
      <w:sz w:val="20"/>
      <w:szCs w:val="20"/>
      <w:lang w:eastAsia="pl-PL"/>
    </w:rPr>
  </w:style>
  <w:style w:type="character" w:styleId="Endnotereference">
    <w:name w:val="endnote reference"/>
    <w:basedOn w:val="DefaultParagraphFont"/>
    <w:qFormat/>
    <w:rPr>
      <w:vertAlign w:val="superscript"/>
    </w:rPr>
  </w:style>
  <w:style w:type="character" w:styleId="UnresolvedMention">
    <w:name w:val="Unresolved Mention"/>
    <w:basedOn w:val="DefaultParagraphFont"/>
    <w:qFormat/>
    <w:rPr>
      <w:color w:val="605E5C"/>
    </w:rPr>
  </w:style>
  <w:style w:type="character" w:styleId="Znakinumeracji">
    <w:name w:val="Znaki numeracji"/>
    <w:qFormat/>
    <w:rPr/>
  </w:style>
  <w:style w:type="paragraph" w:styleId="Nagwek">
    <w:name w:val="Nagłówek"/>
    <w:basedOn w:val="Normal"/>
    <w:next w:val="Tretekstu"/>
    <w:qFormat/>
    <w:pPr>
      <w:keepNext w:val="true"/>
      <w:spacing w:before="240" w:after="120"/>
    </w:pPr>
    <w:rPr>
      <w:rFonts w:ascii="Arial" w:hAnsi="Arial" w:eastAsia="Microsoft YaHei" w:cs="Lucida Sans"/>
      <w:sz w:val="28"/>
      <w:szCs w:val="28"/>
    </w:rPr>
  </w:style>
  <w:style w:type="paragraph" w:styleId="Tretekstu">
    <w:name w:val="Body Text"/>
    <w:basedOn w:val="Normal"/>
    <w:pPr>
      <w:widowControl w:val="false"/>
      <w:numPr>
        <w:ilvl w:val="0"/>
        <w:numId w:val="0"/>
      </w:numPr>
      <w:suppressAutoHyphens w:val="true"/>
      <w:spacing w:before="0" w:after="120"/>
      <w:ind w:left="0" w:right="0" w:hanging="0"/>
    </w:pPr>
    <w:rPr>
      <w:rFonts w:ascii="Arial" w:hAnsi="Arial" w:cs="Arial"/>
      <w:kern w:val="2"/>
      <w:sz w:val="20"/>
      <w:szCs w:val="20"/>
      <w:lang w:val="en-US" w:eastAsia="zh-CN"/>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Gwkaistopka">
    <w:name w:val="Główka i stopka"/>
    <w:basedOn w:val="Normal"/>
    <w:qFormat/>
    <w:pPr>
      <w:suppressLineNumbers/>
      <w:tabs>
        <w:tab w:val="clear" w:pos="708"/>
        <w:tab w:val="center" w:pos="4819" w:leader="none"/>
        <w:tab w:val="right" w:pos="9638" w:leader="none"/>
      </w:tabs>
    </w:pPr>
    <w:rPr/>
  </w:style>
  <w:style w:type="paragraph" w:styleId="Gwka">
    <w:name w:val="Header"/>
    <w:basedOn w:val="Normal"/>
    <w:pPr>
      <w:numPr>
        <w:ilvl w:val="0"/>
        <w:numId w:val="0"/>
      </w:numPr>
      <w:suppressLineNumbers/>
      <w:tabs>
        <w:tab w:val="clear" w:pos="708"/>
        <w:tab w:val="center" w:pos="4536" w:leader="none"/>
        <w:tab w:val="right" w:pos="9072" w:leader="none"/>
      </w:tabs>
      <w:ind w:left="0" w:right="0" w:hanging="0"/>
    </w:pPr>
    <w:rPr/>
  </w:style>
  <w:style w:type="paragraph" w:styleId="Stopka">
    <w:name w:val="Footer"/>
    <w:basedOn w:val="Normal"/>
    <w:pPr>
      <w:numPr>
        <w:ilvl w:val="0"/>
        <w:numId w:val="0"/>
      </w:numPr>
      <w:suppressLineNumbers/>
      <w:tabs>
        <w:tab w:val="clear" w:pos="708"/>
        <w:tab w:val="center" w:pos="4536" w:leader="none"/>
        <w:tab w:val="right" w:pos="9072" w:leader="none"/>
      </w:tabs>
      <w:ind w:left="0" w:right="0" w:hanging="0"/>
    </w:pPr>
    <w:rPr/>
  </w:style>
  <w:style w:type="paragraph" w:styleId="Default">
    <w:name w:val="Default"/>
    <w:qFormat/>
    <w:pPr>
      <w:widowControl/>
      <w:numPr>
        <w:ilvl w:val="0"/>
        <w:numId w:val="0"/>
      </w:numPr>
      <w:suppressAutoHyphens w:val="true"/>
      <w:kinsoku w:val="true"/>
      <w:overflowPunct w:val="true"/>
      <w:autoSpaceDE w:val="true"/>
      <w:bidi w:val="0"/>
      <w:spacing w:lineRule="atLeast" w:line="100" w:before="0" w:after="0"/>
      <w:ind w:left="0" w:right="0" w:hanging="0"/>
    </w:pPr>
    <w:rPr>
      <w:rFonts w:ascii="Arial" w:hAnsi="Arial" w:eastAsia="Times New Roman" w:cs="Arial"/>
      <w:color w:val="000000"/>
      <w:sz w:val="24"/>
      <w:szCs w:val="24"/>
      <w:lang w:val="pl-PL" w:eastAsia="pl-PL" w:bidi="ar-SA"/>
    </w:rPr>
  </w:style>
  <w:style w:type="paragraph" w:styleId="NormalWeb">
    <w:name w:val="Normal (Web)"/>
    <w:basedOn w:val="Default"/>
    <w:qFormat/>
    <w:pPr>
      <w:numPr>
        <w:ilvl w:val="0"/>
        <w:numId w:val="0"/>
      </w:numPr>
      <w:ind w:left="0" w:right="0" w:hanging="0"/>
    </w:pPr>
    <w:rPr>
      <w:color w:val="00000A"/>
    </w:rPr>
  </w:style>
  <w:style w:type="paragraph" w:styleId="NoSpacing">
    <w:name w:val="No Spacing"/>
    <w:qFormat/>
    <w:pPr>
      <w:widowControl/>
      <w:numPr>
        <w:ilvl w:val="0"/>
        <w:numId w:val="0"/>
      </w:numPr>
      <w:suppressAutoHyphens w:val="true"/>
      <w:kinsoku w:val="true"/>
      <w:overflowPunct w:val="true"/>
      <w:autoSpaceDE w:val="true"/>
      <w:bidi w:val="0"/>
      <w:spacing w:lineRule="atLeast" w:line="100" w:before="0" w:after="0"/>
      <w:ind w:left="0" w:right="0" w:hanging="0"/>
    </w:pPr>
    <w:rPr>
      <w:rFonts w:ascii="Times New Roman" w:hAnsi="Times New Roman" w:eastAsia="Times New Roman" w:cs="Times New Roman"/>
      <w:color w:val="auto"/>
      <w:sz w:val="24"/>
      <w:szCs w:val="24"/>
      <w:lang w:val="pl-PL" w:eastAsia="pl-PL" w:bidi="ar-SA"/>
    </w:rPr>
  </w:style>
  <w:style w:type="paragraph" w:styleId="ListParagraph">
    <w:name w:val="List Paragraph"/>
    <w:basedOn w:val="Normal"/>
    <w:qFormat/>
    <w:pPr>
      <w:numPr>
        <w:ilvl w:val="0"/>
        <w:numId w:val="0"/>
      </w:numPr>
      <w:spacing w:lineRule="auto" w:line="276" w:before="0" w:after="200"/>
      <w:ind w:left="720" w:right="0" w:hanging="0"/>
    </w:pPr>
    <w:rPr>
      <w:rFonts w:ascii="Calibri" w:hAnsi="Calibri" w:eastAsia="Calibri" w:cs="Calibri"/>
      <w:sz w:val="22"/>
      <w:szCs w:val="22"/>
      <w:lang w:eastAsia="en-US"/>
    </w:rPr>
  </w:style>
  <w:style w:type="paragraph" w:styleId="Footnotetext">
    <w:name w:val="footnote text"/>
    <w:basedOn w:val="Normal"/>
    <w:qFormat/>
    <w:pPr>
      <w:numPr>
        <w:ilvl w:val="0"/>
        <w:numId w:val="0"/>
      </w:numPr>
      <w:ind w:left="0" w:right="0" w:hanging="0"/>
    </w:pPr>
    <w:rPr>
      <w:sz w:val="20"/>
      <w:szCs w:val="20"/>
    </w:rPr>
  </w:style>
  <w:style w:type="paragraph" w:styleId="BodyText2">
    <w:name w:val="Body Text 2"/>
    <w:basedOn w:val="Normal"/>
    <w:qFormat/>
    <w:pPr>
      <w:numPr>
        <w:ilvl w:val="0"/>
        <w:numId w:val="0"/>
      </w:numPr>
      <w:spacing w:lineRule="auto" w:line="480" w:before="0" w:after="120"/>
      <w:ind w:left="0" w:right="0" w:hanging="0"/>
    </w:pPr>
    <w:rPr>
      <w:rFonts w:ascii="Gill Sans CE" w:hAnsi="Gill Sans CE" w:cs="Arial"/>
    </w:rPr>
  </w:style>
  <w:style w:type="paragraph" w:styleId="BalloonText">
    <w:name w:val="Balloon Text"/>
    <w:basedOn w:val="Normal"/>
    <w:qFormat/>
    <w:pPr>
      <w:numPr>
        <w:ilvl w:val="0"/>
        <w:numId w:val="0"/>
      </w:numPr>
      <w:ind w:left="0" w:right="0" w:hanging="0"/>
    </w:pPr>
    <w:rPr>
      <w:rFonts w:ascii="Segoe UI" w:hAnsi="Segoe UI" w:cs="Segoe UI"/>
      <w:sz w:val="18"/>
      <w:szCs w:val="18"/>
    </w:rPr>
  </w:style>
  <w:style w:type="paragraph" w:styleId="Akapitzlist2">
    <w:name w:val="Akapit z listą2"/>
    <w:basedOn w:val="Normal"/>
    <w:qFormat/>
    <w:pPr>
      <w:numPr>
        <w:ilvl w:val="0"/>
        <w:numId w:val="0"/>
      </w:numPr>
      <w:suppressAutoHyphens w:val="true"/>
      <w:ind w:left="720" w:right="0" w:hanging="0"/>
    </w:pPr>
    <w:rPr>
      <w:rFonts w:ascii="Calibri" w:hAnsi="Calibri" w:eastAsia="Calibri" w:cs="Calibri"/>
      <w:kern w:val="2"/>
      <w:sz w:val="22"/>
      <w:szCs w:val="22"/>
      <w:lang w:val="en-US" w:eastAsia="zh-CN"/>
    </w:rPr>
  </w:style>
  <w:style w:type="paragraph" w:styleId="Endnotetext">
    <w:name w:val="endnote text"/>
    <w:basedOn w:val="Normal"/>
    <w:qFormat/>
    <w:pPr>
      <w:numPr>
        <w:ilvl w:val="0"/>
        <w:numId w:val="0"/>
      </w:numPr>
      <w:ind w:left="0" w:right="0" w:hanging="0"/>
    </w:pPr>
    <w:rPr>
      <w:sz w:val="20"/>
      <w:szCs w:val="20"/>
    </w:rPr>
  </w:style>
  <w:style w:type="paragraph" w:styleId="Zawartoramki">
    <w:name w:val="Zawartość ramki"/>
    <w:basedOn w:val="Tretekstu"/>
    <w:qFormat/>
    <w:pPr/>
    <w:rPr/>
  </w:style>
  <w:style w:type="paragraph" w:styleId="Zawartotabeli">
    <w:name w:val="Zawartość tabeli"/>
    <w:basedOn w:val="Normal"/>
    <w:qFormat/>
    <w:pPr>
      <w:suppressLineNumbers/>
    </w:pPr>
    <w:rPr/>
  </w:style>
  <w:style w:type="paragraph" w:styleId="Nagwektabeli">
    <w:name w:val="Nagłówek tabeli"/>
    <w:basedOn w:val="Zawartotabeli"/>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iod@radomszczanski.pl" TargetMode="Externa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297</TotalTime>
  <Application>LibreOffice/7.3.0.3$Windows_X86_64 LibreOffice_project/0f246aa12d0eee4a0f7adcefbf7c878fc2238db3</Application>
  <AppVersion>15.0000</AppVersion>
  <Pages>16</Pages>
  <Words>4054</Words>
  <Characters>26763</Characters>
  <CharactersWithSpaces>31066</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2024-01-05T11:36:00Z</dcterms:created>
  <dc:creator>Edyta</dc:creator>
  <dc:description/>
  <dc:language>pl-PL</dc:language>
  <cp:lastModifiedBy/>
  <cp:lastPrinted>2024-11-15T12:53:00Z</cp:lastPrinted>
  <dcterms:modified xsi:type="dcterms:W3CDTF">2025-11-06T12:01:45Z</dcterms:modified>
  <cp:revision>19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