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agwek1"/>
        <w:tabs>
          <w:tab w:val="clear" w:pos="708"/>
          <w:tab w:val="left" w:pos="7485" w:leader="none"/>
        </w:tabs>
        <w:spacing w:before="0" w:after="0"/>
        <w:jc w:val="left"/>
        <w:rPr>
          <w:rFonts w:ascii="Times New Roman" w:hAnsi="Times New Roman" w:cs="Calibri"/>
          <w:sz w:val="24"/>
          <w:szCs w:val="24"/>
        </w:rPr>
      </w:pPr>
      <w:r>
        <w:rPr>
          <w:rFonts w:cs="Calibri" w:ascii="Times New Roman" w:hAnsi="Times New Roman"/>
          <w:sz w:val="24"/>
          <w:szCs w:val="24"/>
        </w:rPr>
        <w:tab/>
      </w:r>
    </w:p>
    <w:p>
      <w:pPr>
        <w:pStyle w:val="Nagwek3"/>
        <w:spacing w:lineRule="auto" w:line="360" w:before="0" w:after="0"/>
        <w:jc w:val="center"/>
        <w:rPr>
          <w:rFonts w:ascii="Times New Roman" w:hAnsi="Times New Roman" w:cs="Calibri"/>
          <w:b/>
          <w:b/>
          <w:bCs/>
          <w:color w:val="00000A"/>
          <w:w w:val="90"/>
          <w:sz w:val="24"/>
          <w:szCs w:val="24"/>
        </w:rPr>
      </w:pPr>
      <w:r>
        <w:rPr>
          <w:rFonts w:cs="Calibri" w:ascii="Times New Roman" w:hAnsi="Times New Roman"/>
          <w:b/>
          <w:bCs/>
          <w:color w:val="00000A"/>
          <w:w w:val="90"/>
          <w:sz w:val="24"/>
          <w:szCs w:val="24"/>
        </w:rPr>
        <w:t xml:space="preserve">Umowa na zakup energii elektrycznej i sprzedaż energii elektrycznej z OZE </w:t>
        <w:br/>
        <w:t>z usługą bilansowania handlowego nr ………………..</w:t>
        <w:br/>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uto" w:line="360"/>
        <w:jc w:val="left"/>
        <w:rPr>
          <w:rFonts w:ascii="Times New Roman" w:hAnsi="Times New Roman" w:cs="Calibri"/>
          <w:sz w:val="24"/>
          <w:szCs w:val="24"/>
        </w:rPr>
      </w:pPr>
      <w:r>
        <w:rPr>
          <w:rFonts w:cs="Calibri" w:ascii="Times New Roman" w:hAnsi="Times New Roman"/>
          <w:sz w:val="24"/>
          <w:szCs w:val="24"/>
        </w:rPr>
        <w:t xml:space="preserve">zawarta w dniu ……………………………….. r. w Radomsku pomiędzy: </w:t>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uto" w:line="360"/>
        <w:jc w:val="left"/>
        <w:rPr>
          <w:rFonts w:ascii="Times New Roman" w:hAnsi="Times New Roman" w:cs="Calibri"/>
          <w:sz w:val="24"/>
          <w:szCs w:val="24"/>
        </w:rPr>
      </w:pPr>
      <w:r>
        <w:rPr>
          <w:rFonts w:cs="Calibri" w:ascii="Times New Roman" w:hAnsi="Times New Roman"/>
          <w:sz w:val="24"/>
          <w:szCs w:val="24"/>
        </w:rPr>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uto" w:line="240"/>
        <w:ind w:left="0" w:right="0" w:hanging="426"/>
        <w:jc w:val="left"/>
        <w:rPr>
          <w:rFonts w:ascii="Times New Roman" w:hAnsi="Times New Roman"/>
          <w:sz w:val="24"/>
          <w:szCs w:val="24"/>
        </w:rPr>
      </w:pPr>
      <w:r>
        <w:rPr>
          <w:rFonts w:cs="Calibri" w:ascii="Times New Roman" w:hAnsi="Times New Roman"/>
          <w:b/>
          <w:bCs/>
          <w:color w:val="FF0000"/>
          <w:sz w:val="24"/>
          <w:szCs w:val="24"/>
        </w:rPr>
        <w:t xml:space="preserve">       </w:t>
      </w:r>
      <w:r>
        <w:rPr>
          <w:rFonts w:cs="Calibri" w:ascii="Times New Roman" w:hAnsi="Times New Roman"/>
          <w:b/>
          <w:bCs/>
          <w:color w:val="000000"/>
          <w:sz w:val="24"/>
          <w:szCs w:val="24"/>
        </w:rPr>
        <w:t>Nabywca:</w:t>
        <w:tab/>
        <w:t>Powiatem Radomszczański</w:t>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uto" w:line="240"/>
        <w:ind w:left="0" w:right="0" w:hanging="426"/>
        <w:jc w:val="left"/>
        <w:rPr>
          <w:rFonts w:ascii="Times New Roman" w:hAnsi="Times New Roman" w:cs="Calibri"/>
          <w:b/>
          <w:b/>
          <w:bCs/>
          <w:color w:val="000000"/>
          <w:sz w:val="24"/>
          <w:szCs w:val="24"/>
        </w:rPr>
      </w:pPr>
      <w:r>
        <w:rPr>
          <w:rFonts w:cs="Calibri" w:ascii="Times New Roman" w:hAnsi="Times New Roman"/>
          <w:b/>
          <w:bCs/>
          <w:color w:val="000000"/>
          <w:sz w:val="24"/>
          <w:szCs w:val="24"/>
        </w:rPr>
        <w:tab/>
        <w:tab/>
        <w:tab/>
        <w:t>ul. Leszka Czarnego 22</w:t>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uto" w:line="240"/>
        <w:ind w:left="0" w:right="0" w:hanging="426"/>
        <w:jc w:val="left"/>
        <w:rPr>
          <w:rFonts w:ascii="Times New Roman" w:hAnsi="Times New Roman" w:cs="Calibri"/>
          <w:b/>
          <w:b/>
          <w:bCs/>
          <w:color w:val="000000"/>
          <w:sz w:val="24"/>
          <w:szCs w:val="24"/>
        </w:rPr>
      </w:pPr>
      <w:r>
        <w:rPr>
          <w:rFonts w:cs="Calibri" w:ascii="Times New Roman" w:hAnsi="Times New Roman"/>
          <w:b/>
          <w:bCs/>
          <w:color w:val="000000"/>
          <w:sz w:val="24"/>
          <w:szCs w:val="24"/>
        </w:rPr>
        <w:tab/>
        <w:tab/>
        <w:tab/>
        <w:t xml:space="preserve">97-500 Radomsko                                                   </w:t>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uto" w:line="240"/>
        <w:ind w:left="0" w:right="0" w:hanging="426"/>
        <w:jc w:val="left"/>
        <w:rPr>
          <w:rFonts w:ascii="Times New Roman" w:hAnsi="Times New Roman" w:cs="Calibri"/>
          <w:b/>
          <w:b/>
          <w:bCs/>
          <w:color w:val="000000"/>
          <w:sz w:val="24"/>
          <w:szCs w:val="24"/>
        </w:rPr>
      </w:pPr>
      <w:r>
        <w:rPr>
          <w:rFonts w:cs="Calibri" w:ascii="Times New Roman" w:hAnsi="Times New Roman"/>
          <w:b/>
          <w:bCs/>
          <w:color w:val="000000"/>
          <w:sz w:val="24"/>
          <w:szCs w:val="24"/>
        </w:rPr>
        <w:tab/>
        <w:tab/>
        <w:tab/>
        <w:t>NIP: 772-22-61-699</w:t>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uto" w:line="240"/>
        <w:ind w:left="0" w:right="0" w:hanging="426"/>
        <w:jc w:val="left"/>
        <w:rPr>
          <w:rFonts w:ascii="Times New Roman" w:hAnsi="Times New Roman"/>
          <w:sz w:val="24"/>
          <w:szCs w:val="24"/>
        </w:rPr>
      </w:pPr>
      <w:r>
        <w:rPr>
          <w:rFonts w:cs="Calibri" w:ascii="Times New Roman" w:hAnsi="Times New Roman"/>
          <w:color w:val="000000"/>
          <w:sz w:val="24"/>
          <w:szCs w:val="24"/>
        </w:rPr>
        <w:tab/>
      </w:r>
      <w:r>
        <w:rPr>
          <w:rFonts w:cs="Calibri" w:ascii="Times New Roman" w:hAnsi="Times New Roman"/>
          <w:b/>
          <w:bCs/>
          <w:color w:val="000000"/>
          <w:sz w:val="24"/>
          <w:szCs w:val="24"/>
        </w:rPr>
        <w:t>Odbiorca:</w:t>
        <w:tab/>
        <w:t>Dom Pomocy Społecznej</w:t>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uto" w:line="240"/>
        <w:ind w:left="0" w:right="0" w:hanging="426"/>
        <w:jc w:val="left"/>
        <w:rPr>
          <w:rFonts w:ascii="Times New Roman" w:hAnsi="Times New Roman" w:cs="Calibri"/>
          <w:b/>
          <w:b/>
          <w:bCs/>
          <w:color w:val="000000"/>
          <w:sz w:val="24"/>
          <w:szCs w:val="24"/>
        </w:rPr>
      </w:pPr>
      <w:r>
        <w:rPr>
          <w:rFonts w:cs="Calibri" w:ascii="Times New Roman" w:hAnsi="Times New Roman"/>
          <w:b/>
          <w:bCs/>
          <w:color w:val="000000"/>
          <w:sz w:val="24"/>
          <w:szCs w:val="24"/>
        </w:rPr>
        <w:tab/>
        <w:tab/>
        <w:tab/>
        <w:t>ul. I. Krasickiego 138</w:t>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uto" w:line="240"/>
        <w:ind w:left="0" w:right="0" w:hanging="426"/>
        <w:jc w:val="left"/>
        <w:rPr>
          <w:rFonts w:ascii="Times New Roman" w:hAnsi="Times New Roman" w:cs="Calibri"/>
          <w:b/>
          <w:b/>
          <w:bCs/>
          <w:color w:val="000000"/>
          <w:sz w:val="24"/>
          <w:szCs w:val="24"/>
        </w:rPr>
      </w:pPr>
      <w:r>
        <w:rPr>
          <w:rFonts w:cs="Calibri" w:ascii="Times New Roman" w:hAnsi="Times New Roman"/>
          <w:b/>
          <w:bCs/>
          <w:color w:val="000000"/>
          <w:sz w:val="24"/>
          <w:szCs w:val="24"/>
        </w:rPr>
        <w:tab/>
        <w:tab/>
        <w:tab/>
        <w:t>97-500 Radomsko</w:t>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uto" w:line="240"/>
        <w:ind w:left="0" w:right="0" w:hanging="426"/>
        <w:jc w:val="left"/>
        <w:rPr>
          <w:rFonts w:ascii="Times New Roman" w:hAnsi="Times New Roman" w:cs="Calibri"/>
          <w:b/>
          <w:b/>
          <w:bCs/>
          <w:color w:val="000000"/>
          <w:sz w:val="24"/>
          <w:szCs w:val="24"/>
        </w:rPr>
      </w:pPr>
      <w:r>
        <w:rPr>
          <w:rFonts w:cs="Calibri" w:ascii="Times New Roman" w:hAnsi="Times New Roman"/>
          <w:b/>
          <w:bCs/>
          <w:color w:val="000000"/>
          <w:sz w:val="24"/>
          <w:szCs w:val="24"/>
        </w:rPr>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uto" w:line="360"/>
        <w:ind w:left="0" w:right="0" w:hanging="426"/>
        <w:jc w:val="left"/>
        <w:rPr>
          <w:rFonts w:ascii="Times New Roman" w:hAnsi="Times New Roman"/>
          <w:sz w:val="24"/>
          <w:szCs w:val="24"/>
        </w:rPr>
      </w:pPr>
      <w:r>
        <w:rPr>
          <w:rFonts w:cs="Calibri" w:ascii="Times New Roman" w:hAnsi="Times New Roman"/>
          <w:b/>
          <w:bCs/>
          <w:color w:val="000000"/>
          <w:sz w:val="24"/>
          <w:szCs w:val="24"/>
        </w:rPr>
        <w:tab/>
      </w:r>
      <w:r>
        <w:rPr>
          <w:rFonts w:cs="Calibri" w:ascii="Times New Roman" w:hAnsi="Times New Roman"/>
          <w:sz w:val="24"/>
          <w:szCs w:val="24"/>
        </w:rPr>
        <w:t xml:space="preserve">zwanym w treści Umowy </w:t>
      </w:r>
      <w:r>
        <w:rPr>
          <w:rFonts w:cs="Calibri" w:ascii="Times New Roman" w:hAnsi="Times New Roman"/>
          <w:b/>
          <w:bCs/>
          <w:sz w:val="24"/>
          <w:szCs w:val="24"/>
        </w:rPr>
        <w:t>„Zamawiającym”,</w:t>
      </w:r>
      <w:r>
        <w:rPr>
          <w:rFonts w:cs="Calibri" w:ascii="Times New Roman" w:hAnsi="Times New Roman"/>
          <w:sz w:val="24"/>
          <w:szCs w:val="24"/>
        </w:rPr>
        <w:t xml:space="preserve"> reprezentowanym przez:</w:t>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uto" w:line="360"/>
        <w:jc w:val="left"/>
        <w:rPr>
          <w:rFonts w:ascii="Times New Roman" w:hAnsi="Times New Roman" w:cs="Calibri"/>
          <w:sz w:val="24"/>
          <w:szCs w:val="24"/>
        </w:rPr>
      </w:pPr>
      <w:r>
        <w:rPr>
          <w:rFonts w:cs="Calibri" w:ascii="Times New Roman" w:hAnsi="Times New Roman"/>
          <w:sz w:val="24"/>
          <w:szCs w:val="24"/>
        </w:rPr>
        <w:t xml:space="preserve">Dyrektora – Mariola Kaczmarczyk - Utratna </w:t>
      </w:r>
    </w:p>
    <w:p>
      <w:pPr>
        <w:pStyle w:val="ListParagraph"/>
        <w:widowControl w:val="false"/>
        <w:numPr>
          <w:ilvl w:val="0"/>
          <w:numId w:val="0"/>
        </w:numPr>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uto" w:line="360"/>
        <w:ind w:left="0" w:right="0" w:hanging="0"/>
        <w:jc w:val="left"/>
        <w:rPr>
          <w:rFonts w:ascii="Times New Roman" w:hAnsi="Times New Roman" w:cs="Calibri"/>
          <w:sz w:val="24"/>
          <w:szCs w:val="24"/>
        </w:rPr>
      </w:pPr>
      <w:bookmarkStart w:id="0" w:name="_Hlk126674617"/>
      <w:bookmarkEnd w:id="0"/>
      <w:r>
        <w:rPr>
          <w:rFonts w:cs="Calibri" w:ascii="Times New Roman" w:hAnsi="Times New Roman"/>
          <w:sz w:val="24"/>
          <w:szCs w:val="24"/>
        </w:rPr>
        <w:t>a</w:t>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uto" w:line="360"/>
        <w:jc w:val="left"/>
        <w:rPr>
          <w:rFonts w:ascii="Times New Roman" w:hAnsi="Times New Roman"/>
          <w:sz w:val="24"/>
          <w:szCs w:val="24"/>
        </w:rPr>
      </w:pPr>
      <w:r>
        <w:rPr>
          <w:rFonts w:cs="Calibri" w:ascii="Times New Roman" w:hAnsi="Times New Roman"/>
          <w:b w:val="false"/>
          <w:bCs w:val="false"/>
          <w:sz w:val="24"/>
          <w:szCs w:val="24"/>
        </w:rPr>
        <w:t>…………………………………………………</w:t>
      </w:r>
      <w:r>
        <w:rPr>
          <w:rFonts w:cs="Calibri" w:ascii="Times New Roman" w:hAnsi="Times New Roman"/>
          <w:sz w:val="24"/>
          <w:szCs w:val="24"/>
        </w:rPr>
        <w:t xml:space="preserve"> </w:t>
      </w:r>
      <w:r>
        <w:rPr>
          <w:rFonts w:cs="Calibri" w:ascii="Times New Roman" w:hAnsi="Times New Roman"/>
          <w:sz w:val="24"/>
          <w:szCs w:val="24"/>
        </w:rPr>
        <w:t>wpisaną do ewidencji działalności gospodarczej KRS ………………………………………….. pod numerem NIP ……………………….., REGON ………………………………, zwanym dalej „</w:t>
      </w:r>
      <w:r>
        <w:rPr>
          <w:rFonts w:cs="Calibri" w:ascii="Times New Roman" w:hAnsi="Times New Roman"/>
          <w:b/>
          <w:sz w:val="24"/>
          <w:szCs w:val="24"/>
        </w:rPr>
        <w:t>Wykonawcą</w:t>
      </w:r>
      <w:r>
        <w:rPr>
          <w:rFonts w:cs="Calibri" w:ascii="Times New Roman" w:hAnsi="Times New Roman"/>
          <w:sz w:val="24"/>
          <w:szCs w:val="24"/>
        </w:rPr>
        <w:t xml:space="preserve">”, reprezentowanym przez: </w:t>
      </w:r>
    </w:p>
    <w:p>
      <w:pPr>
        <w:pStyle w:val="ListParagraph"/>
        <w:numPr>
          <w:ilvl w:val="0"/>
          <w:numId w:val="0"/>
        </w:numPr>
        <w:spacing w:lineRule="auto" w:line="360"/>
        <w:ind w:left="0" w:right="0" w:hanging="0"/>
        <w:jc w:val="left"/>
        <w:rPr>
          <w:rFonts w:ascii="Times New Roman" w:hAnsi="Times New Roman" w:cs="Calibri"/>
          <w:b/>
          <w:b/>
          <w:sz w:val="24"/>
          <w:szCs w:val="24"/>
        </w:rPr>
      </w:pPr>
      <w:r>
        <w:rPr>
          <w:rFonts w:cs="Calibri" w:ascii="Times New Roman" w:hAnsi="Times New Roman"/>
          <w:b/>
          <w:sz w:val="24"/>
          <w:szCs w:val="24"/>
        </w:rPr>
        <w:t>………………………………………………………</w:t>
      </w:r>
      <w:r>
        <w:rPr>
          <w:rFonts w:cs="Calibri" w:ascii="Times New Roman" w:hAnsi="Times New Roman"/>
          <w:b/>
          <w:sz w:val="24"/>
          <w:szCs w:val="24"/>
        </w:rPr>
        <w:t xml:space="preserve">. </w:t>
      </w:r>
    </w:p>
    <w:p>
      <w:pPr>
        <w:pStyle w:val="Normal"/>
        <w:widowControl w:val="false"/>
        <w:spacing w:lineRule="auto" w:line="360"/>
        <w:jc w:val="left"/>
        <w:rPr>
          <w:rFonts w:ascii="Times New Roman" w:hAnsi="Times New Roman" w:cs="Calibri"/>
          <w:sz w:val="24"/>
          <w:szCs w:val="24"/>
        </w:rPr>
      </w:pPr>
      <w:r>
        <w:rPr>
          <w:rFonts w:cs="Calibri" w:ascii="Times New Roman" w:hAnsi="Times New Roman"/>
          <w:sz w:val="24"/>
          <w:szCs w:val="24"/>
        </w:rPr>
      </w:r>
    </w:p>
    <w:p>
      <w:pPr>
        <w:pStyle w:val="Normal"/>
        <w:widowControl w:val="false"/>
        <w:spacing w:lineRule="auto" w:line="360"/>
        <w:jc w:val="left"/>
        <w:rPr>
          <w:rFonts w:ascii="Times New Roman" w:hAnsi="Times New Roman" w:cs="Calibri"/>
          <w:sz w:val="24"/>
          <w:szCs w:val="24"/>
        </w:rPr>
      </w:pPr>
      <w:r>
        <w:rPr>
          <w:rFonts w:cs="Calibri" w:ascii="Times New Roman" w:hAnsi="Times New Roman"/>
          <w:sz w:val="24"/>
          <w:szCs w:val="24"/>
        </w:rPr>
        <w:t>o następującej treści:</w:t>
      </w:r>
    </w:p>
    <w:p>
      <w:pPr>
        <w:pStyle w:val="Normal"/>
        <w:spacing w:lineRule="auto" w:line="360"/>
        <w:jc w:val="left"/>
        <w:rPr>
          <w:rFonts w:ascii="Times New Roman" w:hAnsi="Times New Roman"/>
          <w:sz w:val="24"/>
          <w:szCs w:val="24"/>
        </w:rPr>
      </w:pPr>
      <w:r>
        <w:rPr>
          <w:rFonts w:cs="Calibri" w:ascii="Times New Roman" w:hAnsi="Times New Roman"/>
          <w:b/>
          <w:sz w:val="24"/>
          <w:szCs w:val="24"/>
        </w:rPr>
        <w:t>Wykonawca</w:t>
      </w:r>
      <w:r>
        <w:rPr>
          <w:rFonts w:cs="Calibri" w:ascii="Times New Roman" w:hAnsi="Times New Roman"/>
          <w:sz w:val="24"/>
          <w:szCs w:val="24"/>
        </w:rPr>
        <w:t xml:space="preserve"> i </w:t>
      </w:r>
      <w:r>
        <w:rPr>
          <w:rFonts w:cs="Calibri" w:ascii="Times New Roman" w:hAnsi="Times New Roman"/>
          <w:b/>
          <w:sz w:val="24"/>
          <w:szCs w:val="24"/>
        </w:rPr>
        <w:t>Zamawiający</w:t>
      </w:r>
      <w:r>
        <w:rPr>
          <w:rFonts w:cs="Calibri" w:ascii="Times New Roman" w:hAnsi="Times New Roman"/>
          <w:sz w:val="24"/>
          <w:szCs w:val="24"/>
        </w:rPr>
        <w:t xml:space="preserve"> w treści Umowy zwani są </w:t>
      </w:r>
      <w:r>
        <w:rPr>
          <w:rFonts w:cs="Calibri" w:ascii="Times New Roman" w:hAnsi="Times New Roman"/>
          <w:b/>
          <w:sz w:val="24"/>
          <w:szCs w:val="24"/>
        </w:rPr>
        <w:t>Stronami</w:t>
      </w:r>
      <w:r>
        <w:rPr>
          <w:rFonts w:cs="Calibri" w:ascii="Times New Roman" w:hAnsi="Times New Roman"/>
          <w:sz w:val="24"/>
          <w:szCs w:val="24"/>
        </w:rPr>
        <w:t>.</w:t>
      </w:r>
    </w:p>
    <w:p>
      <w:pPr>
        <w:pStyle w:val="Footnotetext"/>
        <w:tabs>
          <w:tab w:val="clear" w:pos="708"/>
          <w:tab w:val="right" w:pos="10205" w:leader="none"/>
        </w:tabs>
        <w:spacing w:lineRule="auto" w:line="360"/>
        <w:jc w:val="left"/>
        <w:rPr>
          <w:rFonts w:ascii="Times New Roman" w:hAnsi="Times New Roman" w:cs="Calibri"/>
          <w:sz w:val="24"/>
          <w:szCs w:val="24"/>
        </w:rPr>
      </w:pPr>
      <w:r>
        <w:rPr>
          <w:rFonts w:cs="Calibri" w:ascii="Times New Roman" w:hAnsi="Times New Roman"/>
          <w:sz w:val="24"/>
          <w:szCs w:val="24"/>
        </w:rPr>
      </w:r>
    </w:p>
    <w:p>
      <w:pPr>
        <w:pStyle w:val="Normal"/>
        <w:spacing w:lineRule="auto" w:line="360"/>
        <w:jc w:val="left"/>
        <w:rPr>
          <w:rFonts w:ascii="Times New Roman" w:hAnsi="Times New Roman"/>
          <w:sz w:val="24"/>
          <w:szCs w:val="24"/>
        </w:rPr>
      </w:pPr>
      <w:r>
        <w:rPr>
          <w:rFonts w:cs="Calibri" w:ascii="Times New Roman" w:hAnsi="Times New Roman"/>
          <w:b/>
          <w:sz w:val="24"/>
          <w:szCs w:val="24"/>
        </w:rPr>
        <w:t>Strony</w:t>
      </w:r>
      <w:r>
        <w:rPr>
          <w:rFonts w:cs="Calibri" w:ascii="Times New Roman" w:hAnsi="Times New Roman"/>
          <w:sz w:val="24"/>
          <w:szCs w:val="24"/>
        </w:rPr>
        <w:t>, mając na uwadze zasadę ekwiwalentności wzajemnych świadczeń, ustaliły następujące zasady i warunki dostawy i sprzedaży energii elektrycznej:</w:t>
      </w:r>
    </w:p>
    <w:p>
      <w:pPr>
        <w:pStyle w:val="Normal"/>
        <w:spacing w:lineRule="auto" w:line="360"/>
        <w:jc w:val="left"/>
        <w:rPr>
          <w:rFonts w:ascii="Times New Roman" w:hAnsi="Times New Roman" w:cs="Calibri"/>
          <w:sz w:val="24"/>
          <w:szCs w:val="24"/>
        </w:rPr>
      </w:pPr>
      <w:r>
        <w:rPr>
          <w:rFonts w:cs="Calibri" w:ascii="Times New Roman" w:hAnsi="Times New Roman"/>
          <w:sz w:val="24"/>
          <w:szCs w:val="24"/>
        </w:rPr>
      </w:r>
    </w:p>
    <w:p>
      <w:pPr>
        <w:pStyle w:val="Normal"/>
        <w:spacing w:lineRule="auto" w:line="360"/>
        <w:jc w:val="center"/>
        <w:rPr>
          <w:rFonts w:ascii="Times New Roman" w:hAnsi="Times New Roman" w:cs="Calibri"/>
          <w:b/>
          <w:b/>
          <w:sz w:val="24"/>
          <w:szCs w:val="24"/>
        </w:rPr>
      </w:pPr>
      <w:r>
        <w:rPr>
          <w:rFonts w:cs="Calibri" w:ascii="Times New Roman" w:hAnsi="Times New Roman"/>
          <w:b/>
          <w:sz w:val="24"/>
          <w:szCs w:val="24"/>
        </w:rPr>
        <w:t>§ 1</w:t>
      </w:r>
    </w:p>
    <w:p>
      <w:pPr>
        <w:pStyle w:val="ListParagraph"/>
        <w:numPr>
          <w:ilvl w:val="0"/>
          <w:numId w:val="2"/>
        </w:numPr>
        <w:tabs>
          <w:tab w:val="clear" w:pos="708"/>
          <w:tab w:val="left" w:pos="567" w:leader="none"/>
        </w:tabs>
        <w:overflowPunct w:val="true"/>
        <w:spacing w:lineRule="auto" w:line="360"/>
        <w:jc w:val="left"/>
        <w:rPr>
          <w:rFonts w:ascii="Times New Roman" w:hAnsi="Times New Roman"/>
          <w:sz w:val="24"/>
          <w:szCs w:val="24"/>
        </w:rPr>
      </w:pPr>
      <w:r>
        <w:rPr>
          <w:rFonts w:cs="Calibri" w:ascii="Times New Roman" w:hAnsi="Times New Roman"/>
          <w:sz w:val="24"/>
          <w:szCs w:val="24"/>
        </w:rPr>
        <w:t xml:space="preserve">Sprzedaż energii elektrycznej odbywa się na warunkach określonych przepisami ustawy </w:t>
        <w:br/>
        <w:t xml:space="preserve">z dnia 10 kwietnia 1997 r. - Prawo energetyczne (t.j. Dz. U. z 2024 r. poz. 266 ze zm. zwanej dalej „Prawo energetyczne”), zgodnie z obowiązującymi rozporządzeniami do ww. ustawy oraz przepisami Ustawy z dnia 23 kwietnia 1964 r. Kodeks Cywilny (t.j. Dz. U. z 2024 r. poz. 1061 ze zm.), zwanej dalej „Kodeks Cywilny”, zasadami określonymi w koncesjach, postanowieniami niniejszej Umowy, w oparciu o ustawę z dnia 11 września 2019r. Prawo Zamówień Publicznych (t.j. Dz. U. z 2024 r. poz. 1320). Sprzedaż odbywa się za pośrednictwem sieci dystrybucyjnej należącej do lokalnego Operatora Systemu Dystrybucyjnego PGE Dystrybucja S.A. - Łódź Teren (zwanego dalej </w:t>
      </w:r>
      <w:r>
        <w:rPr>
          <w:rFonts w:cs="Calibri" w:ascii="Times New Roman" w:hAnsi="Times New Roman"/>
          <w:b/>
          <w:bCs/>
          <w:sz w:val="24"/>
          <w:szCs w:val="24"/>
        </w:rPr>
        <w:t>OSD</w:t>
      </w:r>
      <w:r>
        <w:rPr>
          <w:rFonts w:cs="Calibri" w:ascii="Times New Roman" w:hAnsi="Times New Roman"/>
          <w:sz w:val="24"/>
          <w:szCs w:val="24"/>
        </w:rPr>
        <w:t xml:space="preserve">), z którym </w:t>
      </w:r>
      <w:r>
        <w:rPr>
          <w:rFonts w:cs="Calibri" w:ascii="Times New Roman" w:hAnsi="Times New Roman"/>
          <w:b/>
          <w:sz w:val="24"/>
          <w:szCs w:val="24"/>
        </w:rPr>
        <w:t xml:space="preserve">Zamawiający </w:t>
      </w:r>
      <w:r>
        <w:rPr>
          <w:rFonts w:cs="Calibri" w:ascii="Times New Roman" w:hAnsi="Times New Roman"/>
          <w:sz w:val="24"/>
          <w:szCs w:val="24"/>
        </w:rPr>
        <w:t xml:space="preserve">ma podpisaną umowę o świadczenie usług dystrybucyjnych. </w:t>
      </w:r>
    </w:p>
    <w:p>
      <w:pPr>
        <w:pStyle w:val="ListParagraph"/>
        <w:numPr>
          <w:ilvl w:val="0"/>
          <w:numId w:val="2"/>
        </w:numPr>
        <w:tabs>
          <w:tab w:val="clear" w:pos="708"/>
          <w:tab w:val="left" w:pos="567" w:leader="none"/>
        </w:tabs>
        <w:overflowPunct w:val="true"/>
        <w:spacing w:lineRule="auto" w:line="360"/>
        <w:jc w:val="left"/>
        <w:rPr>
          <w:rFonts w:ascii="Times New Roman" w:hAnsi="Times New Roman" w:cs="Calibri"/>
          <w:sz w:val="24"/>
          <w:szCs w:val="24"/>
        </w:rPr>
      </w:pPr>
      <w:r>
        <w:rPr>
          <w:rFonts w:cs="Calibri" w:ascii="Times New Roman" w:hAnsi="Times New Roman"/>
          <w:sz w:val="24"/>
          <w:szCs w:val="24"/>
        </w:rPr>
        <w:t>Niniejsza Umowa reguluje wyłącznie warunki sprzedaży energii elektrycznej na rzecz Zamawiającego i zakupu energii elektrycznej wytworzonej przez Zamawiającego, i nie zastępuje umowy o świadczenie usług dystrybucyjnych.</w:t>
      </w:r>
    </w:p>
    <w:p>
      <w:pPr>
        <w:pStyle w:val="ListParagraph"/>
        <w:numPr>
          <w:ilvl w:val="0"/>
          <w:numId w:val="2"/>
        </w:numPr>
        <w:tabs>
          <w:tab w:val="clear" w:pos="708"/>
          <w:tab w:val="left" w:pos="567" w:leader="none"/>
        </w:tabs>
        <w:overflowPunct w:val="true"/>
        <w:spacing w:lineRule="auto" w:line="360"/>
        <w:jc w:val="left"/>
        <w:rPr>
          <w:rFonts w:ascii="Times New Roman" w:hAnsi="Times New Roman"/>
          <w:sz w:val="24"/>
          <w:szCs w:val="24"/>
        </w:rPr>
      </w:pPr>
      <w:r>
        <w:rPr>
          <w:rFonts w:cs="Calibri" w:ascii="Times New Roman" w:hAnsi="Times New Roman"/>
          <w:b/>
          <w:sz w:val="24"/>
          <w:szCs w:val="24"/>
        </w:rPr>
        <w:t xml:space="preserve">Wykonawca </w:t>
      </w:r>
      <w:r>
        <w:rPr>
          <w:rFonts w:cs="Calibri" w:ascii="Times New Roman" w:hAnsi="Times New Roman"/>
          <w:sz w:val="24"/>
          <w:szCs w:val="24"/>
        </w:rPr>
        <w:t>oświadcza, że</w:t>
      </w:r>
      <w:r>
        <w:rPr>
          <w:rFonts w:cs="Calibri" w:ascii="Times New Roman" w:hAnsi="Times New Roman"/>
          <w:b/>
          <w:sz w:val="24"/>
          <w:szCs w:val="24"/>
        </w:rPr>
        <w:t xml:space="preserve"> </w:t>
      </w:r>
      <w:r>
        <w:rPr>
          <w:rFonts w:cs="Calibri" w:ascii="Times New Roman" w:hAnsi="Times New Roman"/>
          <w:sz w:val="24"/>
          <w:szCs w:val="24"/>
        </w:rPr>
        <w:t xml:space="preserve">posiada koncesję na obrót energią elektryczną </w:t>
      </w:r>
      <w:bookmarkStart w:id="1" w:name="Tekst16"/>
      <w:r>
        <w:rPr>
          <w:rFonts w:cs="Calibri" w:ascii="Times New Roman" w:hAnsi="Times New Roman"/>
          <w:sz w:val="24"/>
          <w:szCs w:val="24"/>
        </w:rPr>
        <w:t xml:space="preserve">                                                        </w:t>
      </w:r>
      <w:r>
        <w:rPr>
          <w:rFonts w:cs="Calibri" w:ascii="Times New Roman" w:hAnsi="Times New Roman"/>
          <w:b/>
          <w:bCs/>
          <w:sz w:val="24"/>
          <w:szCs w:val="24"/>
        </w:rPr>
        <w:t xml:space="preserve">Nr </w:t>
      </w:r>
      <w:bookmarkEnd w:id="1"/>
      <w:r>
        <w:rPr>
          <w:rFonts w:cs="Calibri" w:ascii="Times New Roman" w:hAnsi="Times New Roman"/>
          <w:b/>
          <w:bCs/>
          <w:sz w:val="24"/>
          <w:szCs w:val="24"/>
        </w:rPr>
        <w:t>……………………………….</w:t>
      </w:r>
      <w:r>
        <w:rPr>
          <w:rFonts w:cs="Calibri" w:ascii="Times New Roman" w:hAnsi="Times New Roman"/>
          <w:sz w:val="24"/>
          <w:szCs w:val="24"/>
        </w:rPr>
        <w:t xml:space="preserve">, wydaną przez Prezesa Urzędu Regulacji Energetyki w dniu </w:t>
      </w:r>
      <w:r>
        <w:rPr>
          <w:rFonts w:cs="Calibri" w:ascii="Times New Roman" w:hAnsi="Times New Roman"/>
          <w:b/>
          <w:bCs/>
          <w:sz w:val="24"/>
          <w:szCs w:val="24"/>
        </w:rPr>
        <w:t xml:space="preserve">…………………………………. </w:t>
      </w:r>
      <w:r>
        <w:rPr>
          <w:rFonts w:cs="Calibri" w:ascii="Times New Roman" w:hAnsi="Times New Roman"/>
          <w:sz w:val="24"/>
          <w:szCs w:val="24"/>
        </w:rPr>
        <w:t xml:space="preserve">ważną do </w:t>
      </w:r>
      <w:r>
        <w:rPr>
          <w:rFonts w:cs="Calibri" w:ascii="Times New Roman" w:hAnsi="Times New Roman"/>
          <w:b/>
          <w:bCs/>
          <w:sz w:val="24"/>
          <w:szCs w:val="24"/>
        </w:rPr>
        <w:t>………………………………………</w:t>
      </w:r>
    </w:p>
    <w:p>
      <w:pPr>
        <w:pStyle w:val="ListParagraph"/>
        <w:numPr>
          <w:ilvl w:val="0"/>
          <w:numId w:val="2"/>
        </w:numPr>
        <w:tabs>
          <w:tab w:val="clear" w:pos="708"/>
          <w:tab w:val="left" w:pos="567" w:leader="none"/>
        </w:tabs>
        <w:overflowPunct w:val="true"/>
        <w:spacing w:lineRule="auto" w:line="360"/>
        <w:jc w:val="left"/>
        <w:rPr>
          <w:rFonts w:ascii="Times New Roman" w:hAnsi="Times New Roman"/>
          <w:sz w:val="24"/>
          <w:szCs w:val="24"/>
        </w:rPr>
      </w:pPr>
      <w:r>
        <w:rPr>
          <w:rFonts w:cs="Calibri" w:ascii="Times New Roman" w:hAnsi="Times New Roman"/>
          <w:b/>
          <w:sz w:val="24"/>
          <w:szCs w:val="24"/>
        </w:rPr>
        <w:t xml:space="preserve">Wykonawca </w:t>
      </w:r>
      <w:r>
        <w:rPr>
          <w:rFonts w:cs="Calibri" w:ascii="Times New Roman" w:hAnsi="Times New Roman"/>
          <w:sz w:val="24"/>
          <w:szCs w:val="24"/>
        </w:rPr>
        <w:t>oświadcza, że ma zawartą stosowną umowę z OSD, umożliwiającą sprzedaż energii elektrycznej do obiektów Zamawiającego za pośrednictwem sieci dystrybucyjnej OSD przez cały okres obowiązywania Umowy.</w:t>
      </w:r>
      <w:r>
        <w:rPr>
          <w:rFonts w:cs="Calibri" w:ascii="Times New Roman" w:hAnsi="Times New Roman"/>
          <w:b/>
          <w:sz w:val="24"/>
          <w:szCs w:val="24"/>
        </w:rPr>
        <w:t xml:space="preserve"> </w:t>
      </w:r>
    </w:p>
    <w:p>
      <w:pPr>
        <w:pStyle w:val="ListParagraph"/>
        <w:numPr>
          <w:ilvl w:val="0"/>
          <w:numId w:val="2"/>
        </w:numPr>
        <w:tabs>
          <w:tab w:val="clear" w:pos="708"/>
          <w:tab w:val="left" w:pos="567" w:leader="none"/>
        </w:tabs>
        <w:overflowPunct w:val="true"/>
        <w:spacing w:lineRule="auto" w:line="360"/>
        <w:jc w:val="left"/>
        <w:rPr>
          <w:rFonts w:ascii="Times New Roman" w:hAnsi="Times New Roman"/>
          <w:sz w:val="24"/>
          <w:szCs w:val="24"/>
        </w:rPr>
      </w:pPr>
      <w:r>
        <w:rPr>
          <w:rFonts w:cs="Calibri" w:ascii="Times New Roman" w:hAnsi="Times New Roman"/>
          <w:b/>
          <w:sz w:val="24"/>
          <w:szCs w:val="24"/>
        </w:rPr>
        <w:t xml:space="preserve">Wykonawca </w:t>
      </w:r>
      <w:r>
        <w:rPr>
          <w:rFonts w:cs="Calibri" w:ascii="Times New Roman" w:hAnsi="Times New Roman"/>
          <w:sz w:val="24"/>
          <w:szCs w:val="24"/>
        </w:rPr>
        <w:t xml:space="preserve">zapewnia, że nie ma żadnych przeszkód prawnych bądź faktycznych </w:t>
        <w:br/>
        <w:t xml:space="preserve">do realizacji przez niego niniejszej Umowy. </w:t>
      </w:r>
    </w:p>
    <w:p>
      <w:pPr>
        <w:pStyle w:val="ListParagraph"/>
        <w:numPr>
          <w:ilvl w:val="0"/>
          <w:numId w:val="2"/>
        </w:numPr>
        <w:tabs>
          <w:tab w:val="clear" w:pos="708"/>
          <w:tab w:val="left" w:pos="567" w:leader="none"/>
        </w:tabs>
        <w:overflowPunct w:val="true"/>
        <w:spacing w:lineRule="auto" w:line="360"/>
        <w:jc w:val="left"/>
        <w:rPr>
          <w:rFonts w:ascii="Times New Roman" w:hAnsi="Times New Roman" w:cs="Calibri"/>
          <w:sz w:val="24"/>
          <w:szCs w:val="24"/>
        </w:rPr>
      </w:pPr>
      <w:r>
        <w:rPr>
          <w:rFonts w:cs="Calibri" w:ascii="Times New Roman" w:hAnsi="Times New Roman"/>
          <w:sz w:val="24"/>
          <w:szCs w:val="24"/>
        </w:rPr>
        <w:t xml:space="preserve">Energia elektryczna kupowana na podstawie niniejszej umowy zużywana będzie </w:t>
        <w:br/>
        <w:t xml:space="preserve">na potrzeby odbiorcy końcowego, co oznacza Zamawiający nie jest przedsiębiorstwem energetycznym w rozumieniu ustawy Prawo energetyczne.  </w:t>
      </w:r>
    </w:p>
    <w:p>
      <w:pPr>
        <w:pStyle w:val="ListParagraph"/>
        <w:numPr>
          <w:ilvl w:val="0"/>
          <w:numId w:val="2"/>
        </w:numPr>
        <w:tabs>
          <w:tab w:val="clear" w:pos="708"/>
          <w:tab w:val="left" w:pos="567" w:leader="none"/>
        </w:tabs>
        <w:overflowPunct w:val="true"/>
        <w:spacing w:lineRule="auto" w:line="360"/>
        <w:jc w:val="left"/>
        <w:rPr>
          <w:rFonts w:ascii="Times New Roman" w:hAnsi="Times New Roman" w:cs="Calibri"/>
          <w:sz w:val="24"/>
          <w:szCs w:val="24"/>
        </w:rPr>
      </w:pPr>
      <w:r>
        <w:rPr>
          <w:rFonts w:cs="Calibri" w:ascii="Times New Roman" w:hAnsi="Times New Roman"/>
          <w:sz w:val="24"/>
          <w:szCs w:val="24"/>
        </w:rPr>
        <w:t>Wykonawca oświadcza, że posiada i będzie posiadał przez cały okres obowiązywania niniejszej Umowy wszelkie wymagane prawem uprawnienia, w szczególności koncesję na obrót energią elektryczną, generalną umowę dystrybucyjną z OSD właściwym terytorialnie dla Zamawiającego, zezwolenia i decyzje, a także inne niezbędne do właściwego wykonania niniejszej Umowy dokumenty. W przypadku, gdy w trakcie obowiązywania niniejszej Umowy Wykonawcy upływałby termin ważności któregokolwiek z wyżej wskazanych dokumentów, Wykonawca zobowiązany jest w terminie 10 dni od dnia wysłania w formie elektronicznej żądania Zamawiającego dostarczyć Zamawiającemu aktualny dokument lub oświadczenie o przedłużeniu ważności tego dokumentu na okres obowiązywania niniejszej Umowy.</w:t>
      </w:r>
    </w:p>
    <w:p>
      <w:pPr>
        <w:pStyle w:val="Normal"/>
        <w:spacing w:lineRule="auto" w:line="360"/>
        <w:jc w:val="center"/>
        <w:rPr>
          <w:rFonts w:ascii="Times New Roman" w:hAnsi="Times New Roman" w:cs="Calibri"/>
          <w:b/>
          <w:b/>
          <w:sz w:val="24"/>
          <w:szCs w:val="24"/>
        </w:rPr>
      </w:pPr>
      <w:r>
        <w:rPr>
          <w:rFonts w:cs="Calibri" w:ascii="Times New Roman" w:hAnsi="Times New Roman"/>
          <w:b/>
          <w:sz w:val="24"/>
          <w:szCs w:val="24"/>
        </w:rPr>
        <w:t>§ 2</w:t>
      </w:r>
    </w:p>
    <w:p>
      <w:pPr>
        <w:pStyle w:val="ListParagraph"/>
        <w:numPr>
          <w:ilvl w:val="0"/>
          <w:numId w:val="17"/>
        </w:numPr>
        <w:tabs>
          <w:tab w:val="clear" w:pos="708"/>
          <w:tab w:val="left" w:pos="567" w:leader="none"/>
        </w:tabs>
        <w:overflowPunct w:val="true"/>
        <w:spacing w:lineRule="auto" w:line="360"/>
        <w:ind w:left="284" w:right="0" w:hanging="284"/>
        <w:jc w:val="left"/>
        <w:rPr>
          <w:rFonts w:ascii="Times New Roman" w:hAnsi="Times New Roman"/>
          <w:sz w:val="24"/>
          <w:szCs w:val="24"/>
        </w:rPr>
      </w:pPr>
      <w:r>
        <w:rPr>
          <w:rFonts w:cs="Calibri" w:ascii="Times New Roman" w:hAnsi="Times New Roman"/>
          <w:b/>
          <w:sz w:val="24"/>
          <w:szCs w:val="24"/>
        </w:rPr>
        <w:t>Wykonawca</w:t>
      </w:r>
      <w:r>
        <w:rPr>
          <w:rFonts w:cs="Calibri" w:ascii="Times New Roman" w:hAnsi="Times New Roman"/>
          <w:sz w:val="24"/>
          <w:szCs w:val="24"/>
        </w:rPr>
        <w:t xml:space="preserve"> zobowiązuje się do:</w:t>
      </w:r>
    </w:p>
    <w:p>
      <w:pPr>
        <w:pStyle w:val="ListParagraph"/>
        <w:numPr>
          <w:ilvl w:val="0"/>
          <w:numId w:val="18"/>
        </w:numPr>
        <w:tabs>
          <w:tab w:val="clear" w:pos="708"/>
          <w:tab w:val="left" w:pos="0" w:leader="none"/>
        </w:tabs>
        <w:overflowPunct w:val="true"/>
        <w:spacing w:lineRule="auto" w:line="360"/>
        <w:ind w:left="284" w:right="0" w:hanging="284"/>
        <w:jc w:val="left"/>
        <w:rPr>
          <w:rFonts w:ascii="Times New Roman" w:hAnsi="Times New Roman"/>
          <w:sz w:val="24"/>
          <w:szCs w:val="24"/>
        </w:rPr>
      </w:pPr>
      <w:r>
        <w:rPr>
          <w:rFonts w:cs="Calibri" w:ascii="Times New Roman" w:hAnsi="Times New Roman"/>
          <w:sz w:val="24"/>
          <w:szCs w:val="24"/>
        </w:rPr>
        <w:t xml:space="preserve">sprzedaży energii elektrycznej do punktu poboru energii elektrycznej </w:t>
      </w:r>
      <w:r>
        <w:rPr>
          <w:rFonts w:cs="Calibri" w:ascii="Times New Roman" w:hAnsi="Times New Roman"/>
          <w:b/>
          <w:sz w:val="24"/>
          <w:szCs w:val="24"/>
        </w:rPr>
        <w:t>Zamawiającego,</w:t>
      </w:r>
      <w:r>
        <w:rPr>
          <w:rFonts w:cs="Calibri" w:ascii="Times New Roman" w:hAnsi="Times New Roman"/>
          <w:sz w:val="24"/>
          <w:szCs w:val="24"/>
        </w:rPr>
        <w:t xml:space="preserve"> wymienionego w załączniku nr 1 Formularza ofertowego (Formularza cenowego);</w:t>
      </w:r>
    </w:p>
    <w:p>
      <w:pPr>
        <w:pStyle w:val="ListParagraph"/>
        <w:numPr>
          <w:ilvl w:val="0"/>
          <w:numId w:val="18"/>
        </w:numPr>
        <w:tabs>
          <w:tab w:val="clear" w:pos="708"/>
          <w:tab w:val="left" w:pos="0" w:leader="none"/>
        </w:tabs>
        <w:overflowPunct w:val="true"/>
        <w:spacing w:lineRule="auto" w:line="360"/>
        <w:ind w:left="284" w:right="0" w:hanging="284"/>
        <w:jc w:val="left"/>
        <w:rPr>
          <w:rFonts w:ascii="Times New Roman" w:hAnsi="Times New Roman" w:cs="Calibri"/>
          <w:sz w:val="24"/>
          <w:szCs w:val="24"/>
        </w:rPr>
      </w:pPr>
      <w:r>
        <w:rPr>
          <w:rFonts w:cs="Calibri" w:ascii="Times New Roman" w:hAnsi="Times New Roman"/>
          <w:sz w:val="24"/>
          <w:szCs w:val="24"/>
        </w:rPr>
        <w:t>zakupu energii elektrycznej wytworzonej w instalacji Zamawiającego.</w:t>
      </w:r>
    </w:p>
    <w:p>
      <w:pPr>
        <w:pStyle w:val="ListParagraph"/>
        <w:numPr>
          <w:ilvl w:val="0"/>
          <w:numId w:val="17"/>
        </w:numPr>
        <w:tabs>
          <w:tab w:val="clear" w:pos="708"/>
          <w:tab w:val="left" w:pos="567" w:leader="none"/>
        </w:tabs>
        <w:overflowPunct w:val="true"/>
        <w:spacing w:lineRule="auto" w:line="360"/>
        <w:ind w:left="284" w:right="0" w:hanging="284"/>
        <w:jc w:val="left"/>
        <w:rPr>
          <w:rFonts w:ascii="Times New Roman" w:hAnsi="Times New Roman" w:cs="Calibri"/>
          <w:bCs/>
          <w:sz w:val="24"/>
          <w:szCs w:val="24"/>
        </w:rPr>
      </w:pPr>
      <w:r>
        <w:rPr>
          <w:rFonts w:cs="Calibri" w:ascii="Times New Roman" w:hAnsi="Times New Roman"/>
          <w:bCs/>
          <w:sz w:val="24"/>
          <w:szCs w:val="24"/>
        </w:rPr>
        <w:t xml:space="preserve">Prognozowane zużycie energii elektrycznej w okresie realizacji niniejszej umowy do  punktu poboru energii elektrycznej opisanego w załączniku nr 1 do Formularza ofertowego (Formularz cenowy) szacuje się na poziomie 76 400 kWh. </w:t>
      </w:r>
    </w:p>
    <w:p>
      <w:pPr>
        <w:pStyle w:val="ListParagraph"/>
        <w:numPr>
          <w:ilvl w:val="0"/>
          <w:numId w:val="17"/>
        </w:numPr>
        <w:tabs>
          <w:tab w:val="clear" w:pos="708"/>
          <w:tab w:val="left" w:pos="567" w:leader="none"/>
        </w:tabs>
        <w:overflowPunct w:val="true"/>
        <w:spacing w:lineRule="auto" w:line="360"/>
        <w:ind w:left="284" w:right="0" w:hanging="284"/>
        <w:jc w:val="left"/>
        <w:rPr>
          <w:rFonts w:ascii="Times New Roman" w:hAnsi="Times New Roman" w:cs="Calibri"/>
          <w:bCs/>
          <w:sz w:val="24"/>
          <w:szCs w:val="24"/>
        </w:rPr>
      </w:pPr>
      <w:r>
        <w:rPr>
          <w:rFonts w:cs="Calibri" w:ascii="Times New Roman" w:hAnsi="Times New Roman"/>
          <w:bCs/>
          <w:sz w:val="24"/>
          <w:szCs w:val="24"/>
        </w:rPr>
        <w:t xml:space="preserve">Prognozowana ilość kupowanej energii elektrycznej oszacowana została na podstawie dotychczasowego zużycia energii elektrycznej. Rzeczywista ilość zużywanej energii </w:t>
        <w:br/>
        <w:t xml:space="preserve">w trakcie wykonywania Umowy może ulec zwiększeniu lub zmniejszeniu. Realizacja prawa polegającego na większym lub mniejszym zużyciu energii elektrycznej odbywała się będzie w sposób automatyczny, przez prowadzenie rozliczeń przez Wykonawcę na podstawie wskazań urządzeń pomiarowo-rozliczeniowych. Różnica w rzeczywistym zużyciu energii elektrycznej w stosunku do szacowanego zużycia nie będzie skutkowała dodatkowymi kosztami dla Zamawiającego, poza wynikającymi ze zużytej ilości energii i ustalonej w umowie ceny. Wykonawcy nie będzie przysługiwało jakiekolwiek roszczenie z tytułu niepobrania przez Zamawiającego przewidywanej ilości energii. </w:t>
      </w:r>
    </w:p>
    <w:p>
      <w:pPr>
        <w:pStyle w:val="ListParagraph"/>
        <w:numPr>
          <w:ilvl w:val="0"/>
          <w:numId w:val="17"/>
        </w:numPr>
        <w:tabs>
          <w:tab w:val="clear" w:pos="708"/>
          <w:tab w:val="left" w:pos="567" w:leader="none"/>
        </w:tabs>
        <w:overflowPunct w:val="true"/>
        <w:spacing w:lineRule="auto" w:line="360"/>
        <w:ind w:left="284" w:right="0" w:hanging="284"/>
        <w:jc w:val="left"/>
        <w:rPr>
          <w:rFonts w:ascii="Times New Roman" w:hAnsi="Times New Roman"/>
          <w:sz w:val="24"/>
          <w:szCs w:val="24"/>
        </w:rPr>
      </w:pPr>
      <w:r>
        <w:rPr>
          <w:rFonts w:cs="Calibri" w:ascii="Times New Roman" w:hAnsi="Times New Roman"/>
          <w:b/>
          <w:sz w:val="24"/>
          <w:szCs w:val="24"/>
        </w:rPr>
        <w:t xml:space="preserve">Wykonawca </w:t>
      </w:r>
      <w:r>
        <w:rPr>
          <w:rFonts w:cs="Calibri" w:ascii="Times New Roman" w:hAnsi="Times New Roman"/>
          <w:sz w:val="24"/>
          <w:szCs w:val="24"/>
        </w:rPr>
        <w:t xml:space="preserve">zobowiązuje się we własnym zakresie, w granicach i na podstawie warunków </w:t>
      </w:r>
      <w:r>
        <w:rPr>
          <w:rFonts w:cs="Calibri" w:ascii="Times New Roman" w:hAnsi="Times New Roman"/>
          <w:i/>
          <w:sz w:val="24"/>
          <w:szCs w:val="24"/>
        </w:rPr>
        <w:t>Instrukcji Ruchu i Eksploatacji Sieci Dystrybucyjnej</w:t>
      </w:r>
      <w:r>
        <w:rPr>
          <w:rFonts w:cs="Calibri" w:ascii="Times New Roman" w:hAnsi="Times New Roman"/>
          <w:sz w:val="24"/>
          <w:szCs w:val="24"/>
        </w:rPr>
        <w:t xml:space="preserve"> lokalnego </w:t>
      </w:r>
      <w:r>
        <w:rPr>
          <w:rFonts w:cs="Calibri" w:ascii="Times New Roman" w:hAnsi="Times New Roman"/>
          <w:b/>
          <w:sz w:val="24"/>
          <w:szCs w:val="24"/>
        </w:rPr>
        <w:t>OSD</w:t>
      </w:r>
      <w:r>
        <w:rPr>
          <w:rFonts w:cs="Calibri" w:ascii="Times New Roman" w:hAnsi="Times New Roman"/>
          <w:sz w:val="24"/>
          <w:szCs w:val="24"/>
        </w:rPr>
        <w:t xml:space="preserve"> bądź umowy łączącej go z </w:t>
      </w:r>
      <w:r>
        <w:rPr>
          <w:rFonts w:cs="Calibri" w:ascii="Times New Roman" w:hAnsi="Times New Roman"/>
          <w:b/>
          <w:sz w:val="24"/>
          <w:szCs w:val="24"/>
        </w:rPr>
        <w:t>OSD</w:t>
      </w:r>
      <w:r>
        <w:rPr>
          <w:rFonts w:cs="Calibri" w:ascii="Times New Roman" w:hAnsi="Times New Roman"/>
          <w:sz w:val="24"/>
          <w:szCs w:val="24"/>
        </w:rPr>
        <w:t xml:space="preserve"> (GUD), terminowo pozyskać dane pomiarowe od </w:t>
      </w:r>
      <w:r>
        <w:rPr>
          <w:rFonts w:cs="Calibri" w:ascii="Times New Roman" w:hAnsi="Times New Roman"/>
          <w:b/>
          <w:sz w:val="24"/>
          <w:szCs w:val="24"/>
        </w:rPr>
        <w:t>OSD</w:t>
      </w:r>
      <w:r>
        <w:rPr>
          <w:rFonts w:cs="Calibri" w:ascii="Times New Roman" w:hAnsi="Times New Roman"/>
          <w:sz w:val="24"/>
          <w:szCs w:val="24"/>
        </w:rPr>
        <w:t>.</w:t>
      </w:r>
    </w:p>
    <w:p>
      <w:pPr>
        <w:pStyle w:val="ListParagraph"/>
        <w:numPr>
          <w:ilvl w:val="0"/>
          <w:numId w:val="17"/>
        </w:numPr>
        <w:tabs>
          <w:tab w:val="clear" w:pos="708"/>
          <w:tab w:val="left" w:pos="567" w:leader="none"/>
        </w:tabs>
        <w:overflowPunct w:val="true"/>
        <w:spacing w:lineRule="auto" w:line="360"/>
        <w:ind w:left="284" w:right="0" w:hanging="284"/>
        <w:jc w:val="left"/>
        <w:rPr>
          <w:rFonts w:ascii="Times New Roman" w:hAnsi="Times New Roman"/>
          <w:sz w:val="24"/>
          <w:szCs w:val="24"/>
        </w:rPr>
      </w:pPr>
      <w:r>
        <w:rPr>
          <w:rFonts w:cs="Calibri" w:ascii="Times New Roman" w:hAnsi="Times New Roman"/>
          <w:sz w:val="24"/>
          <w:szCs w:val="24"/>
        </w:rPr>
        <w:t>Ponadto,</w:t>
      </w:r>
      <w:r>
        <w:rPr>
          <w:rFonts w:cs="Calibri" w:ascii="Times New Roman" w:hAnsi="Times New Roman"/>
          <w:b/>
          <w:sz w:val="24"/>
          <w:szCs w:val="24"/>
        </w:rPr>
        <w:t xml:space="preserve"> Wykonawca</w:t>
      </w:r>
      <w:r>
        <w:rPr>
          <w:rFonts w:cs="Calibri" w:ascii="Times New Roman" w:hAnsi="Times New Roman"/>
          <w:sz w:val="24"/>
          <w:szCs w:val="24"/>
        </w:rPr>
        <w:t xml:space="preserve"> zobowiązuje się do:</w:t>
      </w:r>
    </w:p>
    <w:p>
      <w:pPr>
        <w:pStyle w:val="ListParagraph"/>
        <w:numPr>
          <w:ilvl w:val="0"/>
          <w:numId w:val="4"/>
        </w:numPr>
        <w:overflowPunct w:val="true"/>
        <w:spacing w:lineRule="auto" w:line="360"/>
        <w:jc w:val="left"/>
        <w:rPr>
          <w:rFonts w:ascii="Times New Roman" w:hAnsi="Times New Roman" w:cs="Calibri"/>
          <w:sz w:val="24"/>
          <w:szCs w:val="24"/>
        </w:rPr>
      </w:pPr>
      <w:r>
        <w:rPr>
          <w:rFonts w:cs="Calibri" w:ascii="Times New Roman" w:hAnsi="Times New Roman"/>
          <w:sz w:val="24"/>
          <w:szCs w:val="24"/>
        </w:rPr>
        <w:t>sprzedaży energii elektrycznej z zachowaniem obowiązujących standardów jakościowych wskazanych w § 4 niniejszej Umowy;</w:t>
      </w:r>
    </w:p>
    <w:p>
      <w:pPr>
        <w:pStyle w:val="ListParagraph"/>
        <w:numPr>
          <w:ilvl w:val="0"/>
          <w:numId w:val="4"/>
        </w:numPr>
        <w:overflowPunct w:val="true"/>
        <w:spacing w:lineRule="auto" w:line="360"/>
        <w:jc w:val="left"/>
        <w:rPr>
          <w:rFonts w:ascii="Times New Roman" w:hAnsi="Times New Roman" w:cs="Calibri"/>
          <w:sz w:val="24"/>
          <w:szCs w:val="24"/>
        </w:rPr>
      </w:pPr>
      <w:r>
        <w:rPr>
          <w:rFonts w:cs="Calibri" w:ascii="Times New Roman" w:hAnsi="Times New Roman"/>
          <w:sz w:val="24"/>
          <w:szCs w:val="24"/>
        </w:rPr>
        <w:t>prowadzenia ewidencji wpłat należności, zapewniającej poprawność rozliczeń;</w:t>
      </w:r>
    </w:p>
    <w:p>
      <w:pPr>
        <w:pStyle w:val="ListParagraph"/>
        <w:numPr>
          <w:ilvl w:val="0"/>
          <w:numId w:val="4"/>
        </w:numPr>
        <w:overflowPunct w:val="true"/>
        <w:spacing w:lineRule="auto" w:line="360"/>
        <w:jc w:val="left"/>
        <w:rPr>
          <w:rFonts w:ascii="Times New Roman" w:hAnsi="Times New Roman" w:cs="Calibri"/>
          <w:sz w:val="24"/>
          <w:szCs w:val="24"/>
        </w:rPr>
      </w:pPr>
      <w:r>
        <w:rPr>
          <w:rFonts w:cs="Calibri" w:ascii="Times New Roman" w:hAnsi="Times New Roman"/>
          <w:sz w:val="24"/>
          <w:szCs w:val="24"/>
        </w:rPr>
        <w:t xml:space="preserve">zakupu energii elektrycznej wytworzonej w instalacji Zamawiającego, </w:t>
      </w:r>
    </w:p>
    <w:p>
      <w:pPr>
        <w:pStyle w:val="ListParagraph"/>
        <w:numPr>
          <w:ilvl w:val="0"/>
          <w:numId w:val="4"/>
        </w:numPr>
        <w:overflowPunct w:val="true"/>
        <w:spacing w:lineRule="auto" w:line="360"/>
        <w:jc w:val="left"/>
        <w:rPr>
          <w:rFonts w:ascii="Times New Roman" w:hAnsi="Times New Roman"/>
          <w:sz w:val="24"/>
          <w:szCs w:val="24"/>
        </w:rPr>
      </w:pPr>
      <w:r>
        <w:rPr>
          <w:rFonts w:cs="Calibri" w:ascii="Times New Roman" w:hAnsi="Times New Roman"/>
          <w:sz w:val="24"/>
          <w:szCs w:val="24"/>
        </w:rPr>
        <w:t>stosowania zasad rozliczeń określonych w §</w:t>
      </w:r>
      <w:r>
        <w:rPr>
          <w:rFonts w:cs="Calibri" w:ascii="Times New Roman" w:hAnsi="Times New Roman"/>
          <w:color w:val="FF0000"/>
          <w:sz w:val="24"/>
          <w:szCs w:val="24"/>
        </w:rPr>
        <w:t xml:space="preserve"> </w:t>
      </w:r>
      <w:r>
        <w:rPr>
          <w:rFonts w:cs="Calibri" w:ascii="Times New Roman" w:hAnsi="Times New Roman"/>
          <w:sz w:val="24"/>
          <w:szCs w:val="24"/>
        </w:rPr>
        <w:t>5 ust. 6 niniejszej Umowy.</w:t>
      </w:r>
    </w:p>
    <w:p>
      <w:pPr>
        <w:pStyle w:val="ListParagraph"/>
        <w:numPr>
          <w:ilvl w:val="0"/>
          <w:numId w:val="17"/>
        </w:numPr>
        <w:tabs>
          <w:tab w:val="clear" w:pos="708"/>
          <w:tab w:val="left" w:pos="567" w:leader="none"/>
        </w:tabs>
        <w:overflowPunct w:val="true"/>
        <w:spacing w:lineRule="auto" w:line="360"/>
        <w:ind w:left="284" w:right="0" w:hanging="284"/>
        <w:jc w:val="left"/>
        <w:rPr>
          <w:rFonts w:ascii="Times New Roman" w:hAnsi="Times New Roman"/>
          <w:sz w:val="24"/>
          <w:szCs w:val="24"/>
        </w:rPr>
      </w:pPr>
      <w:r>
        <w:rPr>
          <w:rFonts w:cs="Calibri" w:ascii="Times New Roman" w:hAnsi="Times New Roman"/>
          <w:b/>
          <w:sz w:val="24"/>
          <w:szCs w:val="24"/>
        </w:rPr>
        <w:t>Zamawiający</w:t>
      </w:r>
      <w:r>
        <w:rPr>
          <w:rFonts w:cs="Calibri" w:ascii="Times New Roman" w:hAnsi="Times New Roman"/>
          <w:sz w:val="24"/>
          <w:szCs w:val="24"/>
        </w:rPr>
        <w:t xml:space="preserve"> zobowiązuje się do:</w:t>
      </w:r>
    </w:p>
    <w:p>
      <w:pPr>
        <w:pStyle w:val="ListParagraph"/>
        <w:numPr>
          <w:ilvl w:val="0"/>
          <w:numId w:val="3"/>
        </w:numPr>
        <w:tabs>
          <w:tab w:val="clear" w:pos="708"/>
        </w:tabs>
        <w:overflowPunct w:val="true"/>
        <w:spacing w:lineRule="auto" w:line="360"/>
        <w:ind w:left="567" w:right="0" w:hanging="283"/>
        <w:jc w:val="left"/>
        <w:rPr>
          <w:rFonts w:ascii="Times New Roman" w:hAnsi="Times New Roman" w:cs="Calibri"/>
          <w:sz w:val="24"/>
          <w:szCs w:val="24"/>
        </w:rPr>
      </w:pPr>
      <w:r>
        <w:rPr>
          <w:rFonts w:cs="Calibri" w:ascii="Times New Roman" w:hAnsi="Times New Roman"/>
          <w:sz w:val="24"/>
          <w:szCs w:val="24"/>
        </w:rPr>
        <w:t>pobierania energii elektrycznej zgodnie z obowiązującymi przepisami i warunkami Umowy;</w:t>
      </w:r>
    </w:p>
    <w:p>
      <w:pPr>
        <w:pStyle w:val="ListParagraph"/>
        <w:numPr>
          <w:ilvl w:val="0"/>
          <w:numId w:val="3"/>
        </w:numPr>
        <w:tabs>
          <w:tab w:val="clear" w:pos="708"/>
        </w:tabs>
        <w:overflowPunct w:val="true"/>
        <w:spacing w:lineRule="auto" w:line="360"/>
        <w:ind w:left="567" w:right="0" w:hanging="283"/>
        <w:jc w:val="left"/>
        <w:rPr>
          <w:rFonts w:ascii="Times New Roman" w:hAnsi="Times New Roman" w:cs="Calibri"/>
          <w:sz w:val="24"/>
          <w:szCs w:val="24"/>
        </w:rPr>
      </w:pPr>
      <w:r>
        <w:rPr>
          <w:rFonts w:cs="Calibri" w:ascii="Times New Roman" w:hAnsi="Times New Roman"/>
          <w:sz w:val="24"/>
          <w:szCs w:val="24"/>
        </w:rPr>
        <w:t>terminowego regulowania należności za energię elektryczną;</w:t>
      </w:r>
    </w:p>
    <w:p>
      <w:pPr>
        <w:pStyle w:val="ListParagraph"/>
        <w:numPr>
          <w:ilvl w:val="0"/>
          <w:numId w:val="3"/>
        </w:numPr>
        <w:tabs>
          <w:tab w:val="clear" w:pos="708"/>
        </w:tabs>
        <w:overflowPunct w:val="true"/>
        <w:spacing w:lineRule="auto" w:line="360"/>
        <w:ind w:left="567" w:right="0" w:hanging="283"/>
        <w:jc w:val="left"/>
        <w:rPr>
          <w:rFonts w:ascii="Times New Roman" w:hAnsi="Times New Roman"/>
          <w:sz w:val="24"/>
          <w:szCs w:val="24"/>
        </w:rPr>
      </w:pPr>
      <w:r>
        <w:rPr>
          <w:rFonts w:cs="Calibri" w:ascii="Times New Roman" w:hAnsi="Times New Roman"/>
          <w:sz w:val="24"/>
          <w:szCs w:val="24"/>
        </w:rPr>
        <w:t xml:space="preserve">przekazywania </w:t>
      </w:r>
      <w:r>
        <w:rPr>
          <w:rFonts w:cs="Calibri" w:ascii="Times New Roman" w:hAnsi="Times New Roman"/>
          <w:b/>
          <w:sz w:val="24"/>
          <w:szCs w:val="24"/>
        </w:rPr>
        <w:t>Wykonawcy</w:t>
      </w:r>
      <w:r>
        <w:rPr>
          <w:rFonts w:cs="Calibri" w:ascii="Times New Roman" w:hAnsi="Times New Roman"/>
          <w:sz w:val="24"/>
          <w:szCs w:val="24"/>
        </w:rPr>
        <w:t xml:space="preserve"> istotnych informacji dotyczących realizacji Umowy,                                          w szczególności informacji o zmianach w umowie dystrybucyjnej mających wpływ na realizację Umowy, zmianie licznika w układzie pomiarowo-rozliczeniowym wraz </w:t>
        <w:br/>
        <w:t>z podaniem jego numeru - nr PPE, grupy taryfowej.</w:t>
      </w:r>
    </w:p>
    <w:p>
      <w:pPr>
        <w:pStyle w:val="ListParagraph"/>
        <w:numPr>
          <w:ilvl w:val="0"/>
          <w:numId w:val="17"/>
        </w:numPr>
        <w:tabs>
          <w:tab w:val="clear" w:pos="708"/>
          <w:tab w:val="left" w:pos="567" w:leader="none"/>
        </w:tabs>
        <w:spacing w:lineRule="auto" w:line="360"/>
        <w:ind w:left="284" w:right="0" w:hanging="284"/>
        <w:jc w:val="left"/>
        <w:rPr>
          <w:rFonts w:ascii="Times New Roman" w:hAnsi="Times New Roman"/>
          <w:sz w:val="24"/>
          <w:szCs w:val="24"/>
        </w:rPr>
      </w:pPr>
      <w:r>
        <w:rPr>
          <w:rFonts w:cs="Calibri" w:ascii="Times New Roman" w:hAnsi="Times New Roman"/>
          <w:b/>
          <w:sz w:val="24"/>
          <w:szCs w:val="24"/>
        </w:rPr>
        <w:t>Zamawiający</w:t>
      </w:r>
      <w:r>
        <w:rPr>
          <w:rFonts w:cs="Calibri" w:ascii="Times New Roman" w:hAnsi="Times New Roman"/>
          <w:sz w:val="24"/>
          <w:szCs w:val="24"/>
        </w:rPr>
        <w:t xml:space="preserve"> oświadcza, iż zapewni utrzymanie umowy o świadczenie usług dystrybucji </w:t>
        <w:br/>
        <w:t xml:space="preserve">w mocy przez cały okres trwania </w:t>
      </w:r>
      <w:r>
        <w:rPr>
          <w:rFonts w:cs="Calibri" w:ascii="Times New Roman" w:hAnsi="Times New Roman"/>
          <w:b/>
          <w:sz w:val="24"/>
          <w:szCs w:val="24"/>
        </w:rPr>
        <w:t>Umowy Sprzedaży energii elektrycznej</w:t>
      </w:r>
      <w:r>
        <w:rPr>
          <w:rFonts w:cs="Calibri" w:ascii="Times New Roman" w:hAnsi="Times New Roman"/>
          <w:sz w:val="24"/>
          <w:szCs w:val="24"/>
        </w:rPr>
        <w:t xml:space="preserve">.  W przypadku rozwiązania umowy o świadczenie usług dystrybucji zawartej pomiędzy </w:t>
      </w:r>
      <w:r>
        <w:rPr>
          <w:rFonts w:cs="Calibri" w:ascii="Times New Roman" w:hAnsi="Times New Roman"/>
          <w:b/>
          <w:sz w:val="24"/>
          <w:szCs w:val="24"/>
        </w:rPr>
        <w:t xml:space="preserve">Zamawiającym </w:t>
        <w:br/>
      </w:r>
      <w:r>
        <w:rPr>
          <w:rFonts w:cs="Calibri" w:ascii="Times New Roman" w:hAnsi="Times New Roman"/>
          <w:sz w:val="24"/>
          <w:szCs w:val="24"/>
        </w:rPr>
        <w:t xml:space="preserve">a </w:t>
      </w:r>
      <w:r>
        <w:rPr>
          <w:rFonts w:cs="Calibri" w:ascii="Times New Roman" w:hAnsi="Times New Roman"/>
          <w:b/>
          <w:sz w:val="24"/>
          <w:szCs w:val="24"/>
        </w:rPr>
        <w:t>OSD</w:t>
      </w:r>
      <w:r>
        <w:rPr>
          <w:rFonts w:cs="Calibri" w:ascii="Times New Roman" w:hAnsi="Times New Roman"/>
          <w:sz w:val="24"/>
          <w:szCs w:val="24"/>
        </w:rPr>
        <w:t xml:space="preserve"> lub zamiarze jej rozwiązania, </w:t>
      </w:r>
      <w:r>
        <w:rPr>
          <w:rFonts w:cs="Calibri" w:ascii="Times New Roman" w:hAnsi="Times New Roman"/>
          <w:b/>
          <w:sz w:val="24"/>
          <w:szCs w:val="24"/>
        </w:rPr>
        <w:t>Zamawiający</w:t>
      </w:r>
      <w:r>
        <w:rPr>
          <w:rFonts w:cs="Calibri" w:ascii="Times New Roman" w:hAnsi="Times New Roman"/>
          <w:sz w:val="24"/>
          <w:szCs w:val="24"/>
        </w:rPr>
        <w:t xml:space="preserve"> zobowiązany jest niezwłocznie powiadomić </w:t>
      </w:r>
      <w:r>
        <w:rPr>
          <w:rFonts w:cs="Calibri" w:ascii="Times New Roman" w:hAnsi="Times New Roman"/>
          <w:b/>
          <w:sz w:val="24"/>
          <w:szCs w:val="24"/>
        </w:rPr>
        <w:t>Wykonawcę</w:t>
      </w:r>
      <w:r>
        <w:rPr>
          <w:rFonts w:cs="Calibri" w:ascii="Times New Roman" w:hAnsi="Times New Roman"/>
          <w:sz w:val="24"/>
          <w:szCs w:val="24"/>
        </w:rPr>
        <w:t xml:space="preserve"> o tym fakcie.</w:t>
      </w:r>
    </w:p>
    <w:p>
      <w:pPr>
        <w:pStyle w:val="ListParagraph"/>
        <w:numPr>
          <w:ilvl w:val="0"/>
          <w:numId w:val="17"/>
        </w:numPr>
        <w:tabs>
          <w:tab w:val="clear" w:pos="708"/>
          <w:tab w:val="left" w:pos="567" w:leader="none"/>
        </w:tabs>
        <w:spacing w:lineRule="auto" w:line="360"/>
        <w:ind w:left="284" w:right="0" w:hanging="284"/>
        <w:jc w:val="left"/>
        <w:rPr>
          <w:rFonts w:ascii="Times New Roman" w:hAnsi="Times New Roman"/>
          <w:sz w:val="24"/>
          <w:szCs w:val="24"/>
        </w:rPr>
      </w:pPr>
      <w:r>
        <w:rPr>
          <w:rFonts w:cs="Calibri" w:ascii="Times New Roman" w:hAnsi="Times New Roman"/>
          <w:b/>
          <w:sz w:val="24"/>
          <w:szCs w:val="24"/>
        </w:rPr>
        <w:t>Strony</w:t>
      </w:r>
      <w:r>
        <w:rPr>
          <w:rFonts w:cs="Calibri" w:ascii="Times New Roman" w:hAnsi="Times New Roman"/>
          <w:sz w:val="24"/>
          <w:szCs w:val="24"/>
        </w:rPr>
        <w:t xml:space="preserve"> zobowiązują się do zapewnienia wzajemnego dostępu do danych oraz wglądu do materiałów stanowiących podstawę do rozliczeń za dostarczoną energię.</w:t>
      </w:r>
    </w:p>
    <w:p>
      <w:pPr>
        <w:pStyle w:val="ListParagraph"/>
        <w:numPr>
          <w:ilvl w:val="0"/>
          <w:numId w:val="17"/>
        </w:numPr>
        <w:tabs>
          <w:tab w:val="clear" w:pos="708"/>
          <w:tab w:val="left" w:pos="567" w:leader="none"/>
        </w:tabs>
        <w:spacing w:lineRule="auto" w:line="360"/>
        <w:ind w:left="284" w:right="0" w:hanging="284"/>
        <w:jc w:val="left"/>
        <w:rPr>
          <w:rFonts w:ascii="Times New Roman" w:hAnsi="Times New Roman"/>
          <w:sz w:val="24"/>
          <w:szCs w:val="24"/>
        </w:rPr>
      </w:pPr>
      <w:r>
        <w:rPr>
          <w:rFonts w:cs="Calibri" w:ascii="Times New Roman" w:hAnsi="Times New Roman"/>
          <w:b/>
          <w:bCs/>
          <w:sz w:val="24"/>
          <w:szCs w:val="24"/>
        </w:rPr>
        <w:t>Strony</w:t>
      </w:r>
      <w:r>
        <w:rPr>
          <w:rFonts w:cs="Calibri" w:ascii="Times New Roman" w:hAnsi="Times New Roman"/>
          <w:sz w:val="24"/>
          <w:szCs w:val="24"/>
        </w:rPr>
        <w:t xml:space="preserve"> ustalają, że w przypadku wprowadzenia, w trybie zgodnym z prawem, ograniczeń </w:t>
        <w:br/>
        <w:t xml:space="preserve">w dostarczaniu i poborze energii, </w:t>
      </w:r>
      <w:r>
        <w:rPr>
          <w:rFonts w:cs="Calibri" w:ascii="Times New Roman" w:hAnsi="Times New Roman"/>
          <w:b/>
          <w:sz w:val="24"/>
          <w:szCs w:val="24"/>
        </w:rPr>
        <w:t>Zamawiający</w:t>
      </w:r>
      <w:r>
        <w:rPr>
          <w:rFonts w:cs="Calibri" w:ascii="Times New Roman" w:hAnsi="Times New Roman"/>
          <w:sz w:val="24"/>
          <w:szCs w:val="24"/>
        </w:rPr>
        <w:t xml:space="preserve"> jest obowiązany do dostosowania dobowego poboru energii do planu ograniczeń stosownie do komunikatów radiowych lub indywidualnego zawiadomienia. Za ewentualne wynikłe z tego tytułu szkody </w:t>
      </w:r>
      <w:r>
        <w:rPr>
          <w:rFonts w:cs="Calibri" w:ascii="Times New Roman" w:hAnsi="Times New Roman"/>
          <w:b/>
          <w:sz w:val="24"/>
          <w:szCs w:val="24"/>
        </w:rPr>
        <w:t>Wykonawca</w:t>
      </w:r>
      <w:r>
        <w:rPr>
          <w:rFonts w:cs="Calibri" w:ascii="Times New Roman" w:hAnsi="Times New Roman"/>
          <w:sz w:val="24"/>
          <w:szCs w:val="24"/>
        </w:rPr>
        <w:t xml:space="preserve"> nie ponosi odpowiedzialności.</w:t>
      </w:r>
    </w:p>
    <w:p>
      <w:pPr>
        <w:pStyle w:val="Normal"/>
        <w:spacing w:lineRule="auto" w:line="360"/>
        <w:jc w:val="center"/>
        <w:rPr>
          <w:rFonts w:ascii="Times New Roman" w:hAnsi="Times New Roman" w:cs="Calibri"/>
          <w:b/>
          <w:b/>
          <w:sz w:val="24"/>
          <w:szCs w:val="24"/>
        </w:rPr>
      </w:pPr>
      <w:r>
        <w:rPr>
          <w:rFonts w:cs="Calibri" w:ascii="Times New Roman" w:hAnsi="Times New Roman"/>
          <w:b/>
          <w:sz w:val="24"/>
          <w:szCs w:val="24"/>
        </w:rPr>
        <w:t>§ 3</w:t>
      </w:r>
    </w:p>
    <w:p>
      <w:pPr>
        <w:pStyle w:val="ListParagraph"/>
        <w:numPr>
          <w:ilvl w:val="0"/>
          <w:numId w:val="0"/>
        </w:numPr>
        <w:tabs>
          <w:tab w:val="clear" w:pos="708"/>
          <w:tab w:val="left" w:pos="567" w:leader="none"/>
          <w:tab w:val="left" w:pos="1276" w:leader="none"/>
        </w:tabs>
        <w:overflowPunct w:val="true"/>
        <w:spacing w:lineRule="auto" w:line="360"/>
        <w:ind w:left="0" w:right="0" w:hanging="0"/>
        <w:jc w:val="left"/>
        <w:rPr>
          <w:rFonts w:ascii="Times New Roman" w:hAnsi="Times New Roman" w:cs="Calibri"/>
          <w:sz w:val="24"/>
          <w:szCs w:val="24"/>
        </w:rPr>
      </w:pPr>
      <w:r>
        <w:rPr>
          <w:rFonts w:cs="Calibri" w:ascii="Times New Roman" w:hAnsi="Times New Roman"/>
          <w:sz w:val="24"/>
          <w:szCs w:val="24"/>
        </w:rPr>
        <w:t>1.Zgodnie z art. 3 pkt 40 Prawa energetycznego Bilansowanie handlowe jest to zgłaszanie operatorowi systemu przesyłowego elektroenergetycznego przez podmiot odpowiedzialny za bilansowanie handlowe, do realizacji umów sprzedaży energii elektrycznej, zawartych przez użytkowników systemu i prowadzenie z nimi rozliczeń różnicy rzeczywistej ilości dostarczonej albo pobranej energii elektrycznej i wielkości określonych w tych umowach dla każdego okresu rozliczeniowego.</w:t>
      </w:r>
    </w:p>
    <w:p>
      <w:pPr>
        <w:pStyle w:val="ListParagraph"/>
        <w:numPr>
          <w:ilvl w:val="0"/>
          <w:numId w:val="0"/>
        </w:numPr>
        <w:tabs>
          <w:tab w:val="clear" w:pos="708"/>
          <w:tab w:val="left" w:pos="567" w:leader="none"/>
          <w:tab w:val="left" w:pos="1276" w:leader="none"/>
        </w:tabs>
        <w:overflowPunct w:val="true"/>
        <w:spacing w:lineRule="auto" w:line="360"/>
        <w:ind w:left="0" w:right="0" w:hanging="0"/>
        <w:jc w:val="left"/>
        <w:rPr>
          <w:rFonts w:ascii="Times New Roman" w:hAnsi="Times New Roman" w:cs="Calibri"/>
          <w:sz w:val="24"/>
          <w:szCs w:val="24"/>
        </w:rPr>
      </w:pPr>
      <w:r>
        <w:rPr>
          <w:rFonts w:cs="Calibri" w:ascii="Times New Roman" w:hAnsi="Times New Roman"/>
          <w:sz w:val="24"/>
          <w:szCs w:val="24"/>
        </w:rPr>
        <w:t xml:space="preserve">2. W ramach niniejszej Umowy Wykonawca jest odpowiedzialny, bez dodatkowego wynagrodzenia, za bilansowanie handlowe w zakresie wytwarzanej energii oraz sprzedawanej przez Zamawiającego energii elektrycznej wytworzonej w instalacji Zamawiającego i wprowadzonej do sieci elektroenergetycznej OSD z przeznaczeniem do dalszej odsprzedaży. </w:t>
      </w:r>
    </w:p>
    <w:p>
      <w:pPr>
        <w:pStyle w:val="ListParagraph"/>
        <w:numPr>
          <w:ilvl w:val="0"/>
          <w:numId w:val="0"/>
        </w:numPr>
        <w:tabs>
          <w:tab w:val="clear" w:pos="708"/>
          <w:tab w:val="left" w:pos="567" w:leader="none"/>
          <w:tab w:val="left" w:pos="1276" w:leader="none"/>
        </w:tabs>
        <w:overflowPunct w:val="true"/>
        <w:spacing w:lineRule="auto" w:line="360"/>
        <w:ind w:left="0" w:right="0" w:hanging="0"/>
        <w:jc w:val="left"/>
        <w:rPr>
          <w:rFonts w:ascii="Times New Roman" w:hAnsi="Times New Roman" w:cs="Calibri"/>
          <w:sz w:val="24"/>
          <w:szCs w:val="24"/>
        </w:rPr>
      </w:pPr>
      <w:r>
        <w:rPr>
          <w:rFonts w:cs="Calibri" w:ascii="Times New Roman" w:hAnsi="Times New Roman"/>
          <w:sz w:val="24"/>
          <w:szCs w:val="24"/>
        </w:rPr>
        <w:t xml:space="preserve">3. Wykonawca ponosi wszelkie koszty związane z obowiązkiem bilansowania handlowego, </w:t>
        <w:br/>
        <w:t xml:space="preserve">w tym w szczególności związanych z bilansowaniem handlowym dla energii wytwarzanej </w:t>
        <w:br/>
        <w:t xml:space="preserve">i oddawanej do sieci oraz przygotowaniem i zgłaszaniem grafików wytwarzanej i oddawanej do sieci energii elektrycznej m.in. do OSD. </w:t>
      </w:r>
    </w:p>
    <w:p>
      <w:pPr>
        <w:pStyle w:val="ListParagraph"/>
        <w:numPr>
          <w:ilvl w:val="0"/>
          <w:numId w:val="0"/>
        </w:numPr>
        <w:tabs>
          <w:tab w:val="clear" w:pos="708"/>
          <w:tab w:val="left" w:pos="567" w:leader="none"/>
          <w:tab w:val="left" w:pos="1276" w:leader="none"/>
        </w:tabs>
        <w:overflowPunct w:val="true"/>
        <w:spacing w:lineRule="auto" w:line="360"/>
        <w:ind w:left="0" w:right="0" w:hanging="0"/>
        <w:jc w:val="left"/>
        <w:rPr>
          <w:rFonts w:ascii="Times New Roman" w:hAnsi="Times New Roman"/>
          <w:sz w:val="24"/>
          <w:szCs w:val="24"/>
        </w:rPr>
      </w:pPr>
      <w:r>
        <w:rPr>
          <w:rFonts w:cs="Calibri" w:ascii="Times New Roman" w:hAnsi="Times New Roman"/>
          <w:b w:val="false"/>
          <w:bCs w:val="false"/>
          <w:sz w:val="24"/>
          <w:szCs w:val="24"/>
        </w:rPr>
        <w:t xml:space="preserve">4. </w:t>
      </w:r>
      <w:r>
        <w:rPr>
          <w:rFonts w:cs="Calibri" w:ascii="Times New Roman" w:hAnsi="Times New Roman"/>
          <w:b/>
          <w:sz w:val="24"/>
          <w:szCs w:val="24"/>
        </w:rPr>
        <w:t xml:space="preserve">Zamawiający </w:t>
      </w:r>
      <w:r>
        <w:rPr>
          <w:rFonts w:cs="Calibri" w:ascii="Times New Roman" w:hAnsi="Times New Roman"/>
          <w:sz w:val="24"/>
          <w:szCs w:val="24"/>
        </w:rPr>
        <w:t xml:space="preserve">oświadcza, iż wszystkie prawa i obowiązki związane z bilansowaniem handlowym wynikające z niniejszej Umowy, w tym opracowywanie i zgłaszanie grafików handlowych do </w:t>
      </w:r>
      <w:r>
        <w:rPr>
          <w:rFonts w:cs="Calibri" w:ascii="Times New Roman" w:hAnsi="Times New Roman"/>
          <w:b/>
          <w:sz w:val="24"/>
          <w:szCs w:val="24"/>
        </w:rPr>
        <w:t>OSD</w:t>
      </w:r>
      <w:r>
        <w:rPr>
          <w:rFonts w:cs="Calibri" w:ascii="Times New Roman" w:hAnsi="Times New Roman"/>
          <w:sz w:val="24"/>
          <w:szCs w:val="24"/>
        </w:rPr>
        <w:t xml:space="preserve">, przysługują </w:t>
      </w:r>
      <w:r>
        <w:rPr>
          <w:rFonts w:cs="Calibri" w:ascii="Times New Roman" w:hAnsi="Times New Roman"/>
          <w:b/>
          <w:sz w:val="24"/>
          <w:szCs w:val="24"/>
        </w:rPr>
        <w:t>Wykonawcy.</w:t>
      </w:r>
    </w:p>
    <w:p>
      <w:pPr>
        <w:pStyle w:val="Normal"/>
        <w:spacing w:lineRule="auto" w:line="360"/>
        <w:jc w:val="center"/>
        <w:rPr>
          <w:rFonts w:ascii="Times New Roman" w:hAnsi="Times New Roman" w:cs="Calibri"/>
          <w:b/>
          <w:b/>
          <w:sz w:val="24"/>
          <w:szCs w:val="24"/>
        </w:rPr>
      </w:pPr>
      <w:r>
        <w:rPr>
          <w:rFonts w:cs="Calibri" w:ascii="Times New Roman" w:hAnsi="Times New Roman"/>
          <w:b/>
          <w:sz w:val="24"/>
          <w:szCs w:val="24"/>
        </w:rPr>
        <w:t>§ 4</w:t>
      </w:r>
    </w:p>
    <w:p>
      <w:pPr>
        <w:pStyle w:val="ListParagraph"/>
        <w:numPr>
          <w:ilvl w:val="0"/>
          <w:numId w:val="0"/>
        </w:numPr>
        <w:spacing w:lineRule="auto" w:line="360"/>
        <w:ind w:left="0" w:right="0" w:hanging="0"/>
        <w:jc w:val="left"/>
        <w:rPr/>
      </w:pPr>
      <w:r>
        <w:rPr>
          <w:rFonts w:cs="Calibri" w:ascii="Times New Roman" w:hAnsi="Times New Roman"/>
          <w:b w:val="false"/>
          <w:bCs w:val="false"/>
          <w:sz w:val="24"/>
          <w:szCs w:val="24"/>
        </w:rPr>
        <w:t xml:space="preserve">1. </w:t>
      </w:r>
      <w:r>
        <w:rPr>
          <w:rFonts w:cs="Calibri" w:ascii="Times New Roman" w:hAnsi="Times New Roman"/>
          <w:b/>
          <w:sz w:val="24"/>
          <w:szCs w:val="24"/>
        </w:rPr>
        <w:t xml:space="preserve">Wykonawca </w:t>
      </w:r>
      <w:r>
        <w:rPr>
          <w:rFonts w:cs="Calibri" w:ascii="Times New Roman" w:hAnsi="Times New Roman"/>
          <w:sz w:val="24"/>
          <w:szCs w:val="24"/>
        </w:rPr>
        <w:t xml:space="preserve">zobowiązuje się zapewnić </w:t>
      </w:r>
      <w:r>
        <w:rPr>
          <w:rFonts w:cs="Calibri" w:ascii="Times New Roman" w:hAnsi="Times New Roman"/>
          <w:b/>
          <w:sz w:val="24"/>
          <w:szCs w:val="24"/>
        </w:rPr>
        <w:t>Zamawiającemu</w:t>
      </w:r>
      <w:r>
        <w:rPr>
          <w:rFonts w:cs="Calibri" w:ascii="Times New Roman" w:hAnsi="Times New Roman"/>
          <w:sz w:val="24"/>
          <w:szCs w:val="24"/>
        </w:rPr>
        <w:t xml:space="preserve"> standardy jakościowe obsługi zgodne z obowiązującymi przepisami Prawa energetycznego.</w:t>
      </w:r>
    </w:p>
    <w:p>
      <w:pPr>
        <w:pStyle w:val="ListParagraph"/>
        <w:numPr>
          <w:ilvl w:val="0"/>
          <w:numId w:val="0"/>
        </w:numPr>
        <w:spacing w:lineRule="auto" w:line="360"/>
        <w:ind w:left="0" w:right="0" w:hanging="0"/>
        <w:jc w:val="left"/>
        <w:rPr>
          <w:rFonts w:ascii="Times New Roman" w:hAnsi="Times New Roman"/>
          <w:sz w:val="24"/>
          <w:szCs w:val="24"/>
        </w:rPr>
      </w:pPr>
      <w:r>
        <w:rPr>
          <w:rFonts w:cs="Calibri" w:ascii="Times New Roman" w:hAnsi="Times New Roman"/>
          <w:b w:val="false"/>
          <w:bCs w:val="false"/>
          <w:sz w:val="24"/>
          <w:szCs w:val="24"/>
        </w:rPr>
        <w:t xml:space="preserve">2. </w:t>
      </w:r>
      <w:r>
        <w:rPr>
          <w:rFonts w:cs="Calibri" w:ascii="Times New Roman" w:hAnsi="Times New Roman"/>
          <w:b/>
          <w:sz w:val="24"/>
          <w:szCs w:val="24"/>
        </w:rPr>
        <w:t>Wykonawca</w:t>
      </w:r>
      <w:r>
        <w:rPr>
          <w:rFonts w:cs="Calibri" w:ascii="Times New Roman" w:hAnsi="Times New Roman"/>
          <w:sz w:val="24"/>
          <w:szCs w:val="24"/>
        </w:rPr>
        <w:t xml:space="preserve"> nie gwarantuje ciągłości sprzedaży energii elektrycznej oraz nie ponosi odpowiedzialności za niedostarczenie energii elektrycznej do obiektów </w:t>
      </w:r>
      <w:r>
        <w:rPr>
          <w:rFonts w:cs="Calibri" w:ascii="Times New Roman" w:hAnsi="Times New Roman"/>
          <w:b/>
          <w:sz w:val="24"/>
          <w:szCs w:val="24"/>
        </w:rPr>
        <w:t>Zamawiającego</w:t>
      </w:r>
      <w:r>
        <w:rPr>
          <w:rFonts w:cs="Calibri" w:ascii="Times New Roman" w:hAnsi="Times New Roman"/>
          <w:sz w:val="24"/>
          <w:szCs w:val="24"/>
        </w:rPr>
        <w:t xml:space="preserve">                           w przypadku klęsk żywiołowych, awarii w systemie oraz awarii sieciowych, jak również                             z powodu wyłączeń dokonywanych przez </w:t>
      </w:r>
      <w:r>
        <w:rPr>
          <w:rFonts w:cs="Calibri" w:ascii="Times New Roman" w:hAnsi="Times New Roman"/>
          <w:b/>
          <w:sz w:val="24"/>
          <w:szCs w:val="24"/>
        </w:rPr>
        <w:t>OSD</w:t>
      </w:r>
      <w:r>
        <w:rPr>
          <w:rFonts w:cs="Calibri" w:ascii="Times New Roman" w:hAnsi="Times New Roman"/>
          <w:sz w:val="24"/>
          <w:szCs w:val="24"/>
        </w:rPr>
        <w:t xml:space="preserve">. Szczegółowe zasady dot. niedotrzymania ciągłości dostaw energii elektrycznej regulowane są w umowie o świadczenie usług dystrybucji energii elektrycznej podpisanej z lokalnym </w:t>
      </w:r>
      <w:r>
        <w:rPr>
          <w:rFonts w:cs="Calibri" w:ascii="Times New Roman" w:hAnsi="Times New Roman"/>
          <w:b/>
          <w:sz w:val="24"/>
          <w:szCs w:val="24"/>
        </w:rPr>
        <w:t>OSD</w:t>
      </w:r>
      <w:r>
        <w:rPr>
          <w:rFonts w:cs="Calibri" w:ascii="Times New Roman" w:hAnsi="Times New Roman"/>
          <w:sz w:val="24"/>
          <w:szCs w:val="24"/>
        </w:rPr>
        <w:t>.</w:t>
      </w:r>
    </w:p>
    <w:p>
      <w:pPr>
        <w:pStyle w:val="ListParagraph"/>
        <w:numPr>
          <w:ilvl w:val="0"/>
          <w:numId w:val="0"/>
        </w:numPr>
        <w:spacing w:lineRule="auto" w:line="360"/>
        <w:ind w:left="0" w:right="0" w:hanging="0"/>
        <w:jc w:val="left"/>
        <w:rPr>
          <w:rFonts w:ascii="Times New Roman" w:hAnsi="Times New Roman"/>
          <w:sz w:val="24"/>
          <w:szCs w:val="24"/>
        </w:rPr>
      </w:pPr>
      <w:r>
        <w:rPr>
          <w:rFonts w:cs="Calibri" w:ascii="Times New Roman" w:hAnsi="Times New Roman"/>
          <w:sz w:val="24"/>
          <w:szCs w:val="24"/>
        </w:rPr>
        <w:t xml:space="preserve">3. W przypadku niedotrzymania standardów jakościowych obsługi dotyczącej sprzedaży energii elektrycznej </w:t>
      </w:r>
      <w:r>
        <w:rPr>
          <w:rFonts w:cs="Calibri" w:ascii="Times New Roman" w:hAnsi="Times New Roman"/>
          <w:b/>
          <w:sz w:val="24"/>
          <w:szCs w:val="24"/>
        </w:rPr>
        <w:t>Wykonawca</w:t>
      </w:r>
      <w:r>
        <w:rPr>
          <w:rFonts w:cs="Calibri" w:ascii="Times New Roman" w:hAnsi="Times New Roman"/>
          <w:sz w:val="24"/>
          <w:szCs w:val="24"/>
        </w:rPr>
        <w:t xml:space="preserve"> zobowiązany jest do udzielenia bonifikat – zgodnie </w:t>
        <w:br/>
        <w:t xml:space="preserve">z zasadami określonymi w Rozporządzeniu Ministra Klimatu i Środowiska z dnia </w:t>
        <w:br/>
        <w:t>29 listopada 2022 roku w sprawie sposobu kształtowania i kalkulacji taryf oraz sposobu rozliczeń w obrocie energią elektryczną (Dz. U. z 2022r. poz. 2505 ze zm.) lub w każdym później wydanym akcie prawnym dotyczącym jakościowych standardów obsługi.</w:t>
      </w:r>
    </w:p>
    <w:p>
      <w:pPr>
        <w:pStyle w:val="Normal"/>
        <w:overflowPunct w:val="true"/>
        <w:spacing w:lineRule="auto" w:line="360"/>
        <w:jc w:val="center"/>
        <w:rPr>
          <w:rFonts w:ascii="Times New Roman" w:hAnsi="Times New Roman" w:cs="Calibri"/>
          <w:b/>
          <w:b/>
          <w:sz w:val="24"/>
          <w:szCs w:val="24"/>
        </w:rPr>
      </w:pPr>
      <w:r>
        <w:rPr>
          <w:rFonts w:cs="Calibri" w:ascii="Times New Roman" w:hAnsi="Times New Roman"/>
          <w:b/>
          <w:sz w:val="24"/>
          <w:szCs w:val="24"/>
        </w:rPr>
        <w:t>§ 5</w:t>
      </w:r>
    </w:p>
    <w:p>
      <w:pPr>
        <w:pStyle w:val="ListParagraph"/>
        <w:widowControl w:val="false"/>
        <w:numPr>
          <w:ilvl w:val="0"/>
          <w:numId w:val="0"/>
        </w:numPr>
        <w:suppressAutoHyphens w:val="true"/>
        <w:spacing w:lineRule="auto" w:line="360"/>
        <w:ind w:left="0" w:right="0" w:hanging="0"/>
        <w:jc w:val="left"/>
        <w:rPr>
          <w:rFonts w:ascii="Times New Roman" w:hAnsi="Times New Roman"/>
          <w:sz w:val="24"/>
          <w:szCs w:val="24"/>
        </w:rPr>
      </w:pPr>
      <w:r>
        <w:rPr>
          <w:rFonts w:cs="Calibri" w:ascii="Times New Roman" w:hAnsi="Times New Roman"/>
          <w:sz w:val="24"/>
          <w:szCs w:val="24"/>
        </w:rPr>
        <w:t xml:space="preserve">1. </w:t>
      </w:r>
      <w:bookmarkStart w:id="2" w:name="_Hlk44480912"/>
      <w:bookmarkStart w:id="3" w:name="_Hlk82664144"/>
      <w:r>
        <w:rPr>
          <w:rFonts w:cs="Calibri" w:ascii="Times New Roman" w:hAnsi="Times New Roman"/>
          <w:sz w:val="24"/>
          <w:szCs w:val="24"/>
        </w:rPr>
        <w:t>Umowa obowiązuje od dnia</w:t>
      </w:r>
      <w:bookmarkEnd w:id="3"/>
      <w:r>
        <w:rPr>
          <w:rFonts w:cs="Calibri" w:ascii="Times New Roman" w:hAnsi="Times New Roman"/>
          <w:sz w:val="24"/>
          <w:szCs w:val="24"/>
        </w:rPr>
        <w:t xml:space="preserve"> 01.01.2025 r. do dnia 31.12.2025 r.</w:t>
      </w:r>
    </w:p>
    <w:p>
      <w:pPr>
        <w:pStyle w:val="ListParagraph"/>
        <w:widowControl w:val="false"/>
        <w:numPr>
          <w:ilvl w:val="0"/>
          <w:numId w:val="0"/>
        </w:numPr>
        <w:suppressAutoHyphens w:val="true"/>
        <w:spacing w:lineRule="auto" w:line="360"/>
        <w:ind w:left="0" w:right="0" w:hanging="0"/>
        <w:jc w:val="left"/>
        <w:rPr>
          <w:rFonts w:ascii="Times New Roman" w:hAnsi="Times New Roman"/>
          <w:sz w:val="24"/>
          <w:szCs w:val="24"/>
        </w:rPr>
      </w:pPr>
      <w:bookmarkEnd w:id="2"/>
      <w:r>
        <w:rPr>
          <w:rFonts w:cs="Calibri" w:ascii="Times New Roman" w:hAnsi="Times New Roman"/>
          <w:sz w:val="24"/>
          <w:szCs w:val="24"/>
        </w:rPr>
        <w:t>2. Umowa obowiązuje od dnia jej zawarcia, jednakże sprzedaż energii elektrycznej będzie realizowana nie wcześniej niż po pozytywnie przeprowadzonej procedurze zmiany sprzedawcy a w przypadku nowych PPE od daty montażu licznika przez OSD, po zgłoszeniu przez Sprzedawcę sprzedaży energii elektrycznej dla nowego punktu do przyłączenia do sieci OSD</w:t>
      </w:r>
      <w:bookmarkStart w:id="4" w:name="Tekst17"/>
      <w:r>
        <w:rPr>
          <w:rFonts w:cs="Calibri" w:ascii="Times New Roman" w:hAnsi="Times New Roman"/>
          <w:sz w:val="24"/>
          <w:szCs w:val="24"/>
        </w:rPr>
        <w:t xml:space="preserve"> nie później jednak niż od dnia 01.01.2025 roku. </w:t>
      </w:r>
    </w:p>
    <w:p>
      <w:pPr>
        <w:pStyle w:val="ListParagraph"/>
        <w:widowControl w:val="false"/>
        <w:numPr>
          <w:ilvl w:val="0"/>
          <w:numId w:val="0"/>
        </w:numPr>
        <w:suppressAutoHyphens w:val="true"/>
        <w:spacing w:lineRule="auto" w:line="360"/>
        <w:ind w:left="0" w:right="0" w:hanging="0"/>
        <w:jc w:val="left"/>
        <w:rPr>
          <w:rFonts w:ascii="Times New Roman" w:hAnsi="Times New Roman" w:cs="Calibri"/>
          <w:sz w:val="24"/>
          <w:szCs w:val="24"/>
        </w:rPr>
      </w:pPr>
      <w:r>
        <w:rPr>
          <w:rFonts w:cs="Calibri" w:ascii="Times New Roman" w:hAnsi="Times New Roman"/>
          <w:sz w:val="24"/>
          <w:szCs w:val="24"/>
        </w:rPr>
        <w:t>3. Sprzedawana energia elektryczna będzie rozliczana według ceny jednostkowej energii elektrycznej netto określonej w ofercie, która wynosi:</w:t>
      </w:r>
    </w:p>
    <w:tbl>
      <w:tblPr>
        <w:tblW w:w="7660" w:type="dxa"/>
        <w:jc w:val="center"/>
        <w:tblInd w:w="0" w:type="dxa"/>
        <w:tblLayout w:type="fixed"/>
        <w:tblCellMar>
          <w:top w:w="0" w:type="dxa"/>
          <w:left w:w="108" w:type="dxa"/>
          <w:bottom w:w="0" w:type="dxa"/>
          <w:right w:w="108" w:type="dxa"/>
        </w:tblCellMar>
      </w:tblPr>
      <w:tblGrid>
        <w:gridCol w:w="2262"/>
        <w:gridCol w:w="3828"/>
        <w:gridCol w:w="1570"/>
      </w:tblGrid>
      <w:tr>
        <w:trPr>
          <w:trHeight w:val="1122" w:hRule="atLeast"/>
        </w:trPr>
        <w:tc>
          <w:tcPr>
            <w:tcW w:w="2262" w:type="dxa"/>
            <w:tcBorders>
              <w:top w:val="single" w:sz="4" w:space="0" w:color="00000A"/>
              <w:left w:val="single" w:sz="4" w:space="0" w:color="00000A"/>
              <w:bottom w:val="single" w:sz="4" w:space="0" w:color="00000A"/>
              <w:right w:val="single" w:sz="4" w:space="0" w:color="00000A"/>
            </w:tcBorders>
            <w:vAlign w:val="center"/>
          </w:tcPr>
          <w:p>
            <w:pPr>
              <w:pStyle w:val="Normal"/>
              <w:spacing w:lineRule="auto" w:line="360"/>
              <w:jc w:val="left"/>
              <w:rPr>
                <w:rFonts w:ascii="Times New Roman" w:hAnsi="Times New Roman" w:cs="Calibri"/>
                <w:b/>
                <w:b/>
                <w:bCs/>
                <w:sz w:val="24"/>
                <w:szCs w:val="24"/>
              </w:rPr>
            </w:pPr>
            <w:r>
              <w:rPr>
                <w:rFonts w:cs="Calibri" w:ascii="Times New Roman" w:hAnsi="Times New Roman"/>
                <w:b/>
                <w:bCs/>
                <w:sz w:val="24"/>
                <w:szCs w:val="24"/>
              </w:rPr>
              <w:t>Grupa taryfowa</w:t>
            </w:r>
          </w:p>
        </w:tc>
        <w:tc>
          <w:tcPr>
            <w:tcW w:w="3828" w:type="dxa"/>
            <w:tcBorders>
              <w:top w:val="single" w:sz="4" w:space="0" w:color="00000A"/>
              <w:left w:val="single" w:sz="4" w:space="0" w:color="00000A"/>
              <w:bottom w:val="single" w:sz="4" w:space="0" w:color="00000A"/>
              <w:right w:val="single" w:sz="4" w:space="0" w:color="00000A"/>
            </w:tcBorders>
            <w:vAlign w:val="center"/>
          </w:tcPr>
          <w:p>
            <w:pPr>
              <w:pStyle w:val="Normal"/>
              <w:spacing w:lineRule="auto" w:line="360"/>
              <w:jc w:val="left"/>
              <w:rPr>
                <w:rFonts w:ascii="Times New Roman" w:hAnsi="Times New Roman" w:cs="Calibri"/>
                <w:b/>
                <w:b/>
                <w:bCs/>
                <w:sz w:val="24"/>
                <w:szCs w:val="24"/>
              </w:rPr>
            </w:pPr>
            <w:r>
              <w:rPr>
                <w:rFonts w:cs="Calibri" w:ascii="Times New Roman" w:hAnsi="Times New Roman"/>
                <w:b/>
                <w:bCs/>
                <w:sz w:val="24"/>
                <w:szCs w:val="24"/>
              </w:rPr>
              <w:t>Cena jednostkowa netto za energię czynną uwzględniająca podatek akcyzowy, bez podatku VAT</w:t>
            </w:r>
          </w:p>
        </w:tc>
        <w:tc>
          <w:tcPr>
            <w:tcW w:w="1570" w:type="dxa"/>
            <w:tcBorders>
              <w:top w:val="single" w:sz="4" w:space="0" w:color="00000A"/>
              <w:left w:val="single" w:sz="4" w:space="0" w:color="00000A"/>
              <w:bottom w:val="single" w:sz="4" w:space="0" w:color="00000A"/>
              <w:right w:val="single" w:sz="4" w:space="0" w:color="00000A"/>
            </w:tcBorders>
            <w:vAlign w:val="center"/>
          </w:tcPr>
          <w:p>
            <w:pPr>
              <w:pStyle w:val="Normal"/>
              <w:spacing w:lineRule="auto" w:line="360"/>
              <w:jc w:val="left"/>
              <w:rPr>
                <w:rFonts w:ascii="Times New Roman" w:hAnsi="Times New Roman" w:cs="Calibri"/>
                <w:b/>
                <w:b/>
                <w:bCs/>
                <w:sz w:val="24"/>
                <w:szCs w:val="24"/>
              </w:rPr>
            </w:pPr>
            <w:r>
              <w:rPr>
                <w:rFonts w:cs="Calibri" w:ascii="Times New Roman" w:hAnsi="Times New Roman"/>
                <w:b/>
                <w:bCs/>
                <w:sz w:val="24"/>
                <w:szCs w:val="24"/>
              </w:rPr>
              <w:t>Stawka podatku VAT</w:t>
            </w:r>
          </w:p>
        </w:tc>
      </w:tr>
      <w:tr>
        <w:trPr>
          <w:trHeight w:val="339" w:hRule="atLeast"/>
        </w:trPr>
        <w:tc>
          <w:tcPr>
            <w:tcW w:w="2262" w:type="dxa"/>
            <w:tcBorders>
              <w:top w:val="single" w:sz="4" w:space="0" w:color="00000A"/>
              <w:left w:val="single" w:sz="4" w:space="0" w:color="00000A"/>
              <w:bottom w:val="single" w:sz="4" w:space="0" w:color="00000A"/>
              <w:right w:val="single" w:sz="4" w:space="0" w:color="00000A"/>
            </w:tcBorders>
            <w:vAlign w:val="center"/>
          </w:tcPr>
          <w:p>
            <w:pPr>
              <w:pStyle w:val="Normal"/>
              <w:spacing w:lineRule="auto" w:line="360"/>
              <w:jc w:val="center"/>
              <w:rPr>
                <w:rFonts w:ascii="Times New Roman" w:hAnsi="Times New Roman" w:cs="Calibri"/>
                <w:sz w:val="16"/>
                <w:szCs w:val="16"/>
              </w:rPr>
            </w:pPr>
            <w:r>
              <w:rPr>
                <w:rFonts w:cs="Calibri" w:ascii="Times New Roman" w:hAnsi="Times New Roman"/>
                <w:sz w:val="16"/>
                <w:szCs w:val="16"/>
              </w:rPr>
              <w:t>1</w:t>
            </w:r>
          </w:p>
        </w:tc>
        <w:tc>
          <w:tcPr>
            <w:tcW w:w="3828" w:type="dxa"/>
            <w:tcBorders>
              <w:top w:val="single" w:sz="4" w:space="0" w:color="00000A"/>
              <w:left w:val="single" w:sz="4" w:space="0" w:color="00000A"/>
              <w:bottom w:val="single" w:sz="4" w:space="0" w:color="00000A"/>
              <w:right w:val="single" w:sz="4" w:space="0" w:color="00000A"/>
            </w:tcBorders>
            <w:vAlign w:val="center"/>
          </w:tcPr>
          <w:p>
            <w:pPr>
              <w:pStyle w:val="Normal"/>
              <w:spacing w:lineRule="auto" w:line="360"/>
              <w:jc w:val="center"/>
              <w:rPr>
                <w:rFonts w:ascii="Times New Roman" w:hAnsi="Times New Roman" w:cs="Calibri"/>
                <w:sz w:val="16"/>
                <w:szCs w:val="16"/>
              </w:rPr>
            </w:pPr>
            <w:r>
              <w:rPr>
                <w:rFonts w:cs="Calibri" w:ascii="Times New Roman" w:hAnsi="Times New Roman"/>
                <w:sz w:val="16"/>
                <w:szCs w:val="16"/>
              </w:rPr>
              <w:t>2</w:t>
            </w:r>
          </w:p>
        </w:tc>
        <w:tc>
          <w:tcPr>
            <w:tcW w:w="1570" w:type="dxa"/>
            <w:tcBorders>
              <w:top w:val="single" w:sz="4" w:space="0" w:color="00000A"/>
              <w:left w:val="single" w:sz="4" w:space="0" w:color="00000A"/>
              <w:bottom w:val="single" w:sz="4" w:space="0" w:color="00000A"/>
              <w:right w:val="single" w:sz="4" w:space="0" w:color="00000A"/>
            </w:tcBorders>
            <w:vAlign w:val="center"/>
          </w:tcPr>
          <w:p>
            <w:pPr>
              <w:pStyle w:val="Normal"/>
              <w:spacing w:lineRule="auto" w:line="360"/>
              <w:jc w:val="center"/>
              <w:rPr>
                <w:rFonts w:ascii="Times New Roman" w:hAnsi="Times New Roman" w:cs="Calibri"/>
                <w:sz w:val="16"/>
                <w:szCs w:val="16"/>
              </w:rPr>
            </w:pPr>
            <w:r>
              <w:rPr>
                <w:rFonts w:cs="Calibri" w:ascii="Times New Roman" w:hAnsi="Times New Roman"/>
                <w:sz w:val="16"/>
                <w:szCs w:val="16"/>
              </w:rPr>
              <w:t>3</w:t>
            </w:r>
          </w:p>
        </w:tc>
      </w:tr>
      <w:tr>
        <w:trPr>
          <w:trHeight w:val="496" w:hRule="atLeast"/>
        </w:trPr>
        <w:tc>
          <w:tcPr>
            <w:tcW w:w="2262" w:type="dxa"/>
            <w:tcBorders>
              <w:top w:val="single" w:sz="4" w:space="0" w:color="00000A"/>
              <w:left w:val="single" w:sz="4" w:space="0" w:color="00000A"/>
              <w:bottom w:val="single" w:sz="4" w:space="0" w:color="00000A"/>
              <w:right w:val="single" w:sz="4" w:space="0" w:color="00000A"/>
            </w:tcBorders>
          </w:tcPr>
          <w:p>
            <w:pPr>
              <w:pStyle w:val="Normal"/>
              <w:spacing w:lineRule="auto" w:line="360"/>
              <w:jc w:val="left"/>
              <w:rPr>
                <w:rFonts w:ascii="Times New Roman" w:hAnsi="Times New Roman" w:cs="Calibri"/>
                <w:b/>
                <w:b/>
                <w:sz w:val="24"/>
                <w:szCs w:val="24"/>
              </w:rPr>
            </w:pPr>
            <w:r>
              <w:rPr>
                <w:rFonts w:cs="Calibri" w:ascii="Times New Roman" w:hAnsi="Times New Roman"/>
                <w:b/>
                <w:sz w:val="24"/>
                <w:szCs w:val="24"/>
              </w:rPr>
            </w:r>
          </w:p>
        </w:tc>
        <w:tc>
          <w:tcPr>
            <w:tcW w:w="3828" w:type="dxa"/>
            <w:tcBorders>
              <w:top w:val="single" w:sz="4" w:space="0" w:color="00000A"/>
              <w:left w:val="single" w:sz="4" w:space="0" w:color="00000A"/>
              <w:bottom w:val="single" w:sz="4" w:space="0" w:color="00000A"/>
              <w:right w:val="single" w:sz="4" w:space="0" w:color="00000A"/>
            </w:tcBorders>
            <w:vAlign w:val="center"/>
          </w:tcPr>
          <w:p>
            <w:pPr>
              <w:pStyle w:val="Normal"/>
              <w:spacing w:lineRule="auto" w:line="360"/>
              <w:jc w:val="left"/>
              <w:rPr>
                <w:rFonts w:ascii="Times New Roman" w:hAnsi="Times New Roman" w:cs="Calibri"/>
                <w:b/>
                <w:b/>
                <w:sz w:val="24"/>
                <w:szCs w:val="24"/>
              </w:rPr>
            </w:pPr>
            <w:r>
              <w:rPr>
                <w:rFonts w:cs="Calibri" w:ascii="Times New Roman" w:hAnsi="Times New Roman"/>
                <w:b/>
                <w:sz w:val="24"/>
                <w:szCs w:val="24"/>
              </w:rPr>
            </w:r>
          </w:p>
        </w:tc>
        <w:tc>
          <w:tcPr>
            <w:tcW w:w="1570" w:type="dxa"/>
            <w:tcBorders>
              <w:top w:val="single" w:sz="4" w:space="0" w:color="00000A"/>
              <w:left w:val="single" w:sz="4" w:space="0" w:color="00000A"/>
              <w:bottom w:val="single" w:sz="4" w:space="0" w:color="00000A"/>
              <w:right w:val="single" w:sz="4" w:space="0" w:color="00000A"/>
            </w:tcBorders>
            <w:vAlign w:val="center"/>
          </w:tcPr>
          <w:p>
            <w:pPr>
              <w:pStyle w:val="Normal"/>
              <w:spacing w:lineRule="auto" w:line="360"/>
              <w:jc w:val="left"/>
              <w:rPr>
                <w:rFonts w:ascii="Times New Roman" w:hAnsi="Times New Roman" w:cs="Calibri"/>
                <w:b/>
                <w:b/>
                <w:sz w:val="24"/>
                <w:szCs w:val="24"/>
              </w:rPr>
            </w:pPr>
            <w:r>
              <w:rPr>
                <w:rFonts w:cs="Calibri" w:ascii="Times New Roman" w:hAnsi="Times New Roman"/>
                <w:b/>
                <w:sz w:val="24"/>
                <w:szCs w:val="24"/>
              </w:rPr>
            </w:r>
          </w:p>
        </w:tc>
      </w:tr>
      <w:tr>
        <w:trPr>
          <w:trHeight w:val="465" w:hRule="atLeast"/>
        </w:trPr>
        <w:tc>
          <w:tcPr>
            <w:tcW w:w="2262" w:type="dxa"/>
            <w:tcBorders>
              <w:top w:val="single" w:sz="4" w:space="0" w:color="00000A"/>
              <w:left w:val="single" w:sz="4" w:space="0" w:color="00000A"/>
              <w:bottom w:val="single" w:sz="4" w:space="0" w:color="00000A"/>
              <w:right w:val="single" w:sz="4" w:space="0" w:color="00000A"/>
            </w:tcBorders>
          </w:tcPr>
          <w:p>
            <w:pPr>
              <w:pStyle w:val="Normal"/>
              <w:spacing w:lineRule="auto" w:line="360"/>
              <w:jc w:val="left"/>
              <w:rPr>
                <w:rFonts w:ascii="Times New Roman" w:hAnsi="Times New Roman" w:cs="Calibri"/>
                <w:b/>
                <w:b/>
                <w:sz w:val="24"/>
                <w:szCs w:val="24"/>
              </w:rPr>
            </w:pPr>
            <w:r>
              <w:rPr>
                <w:rFonts w:cs="Calibri" w:ascii="Times New Roman" w:hAnsi="Times New Roman"/>
                <w:b/>
                <w:sz w:val="24"/>
                <w:szCs w:val="24"/>
              </w:rPr>
            </w:r>
          </w:p>
        </w:tc>
        <w:tc>
          <w:tcPr>
            <w:tcW w:w="3828" w:type="dxa"/>
            <w:tcBorders>
              <w:top w:val="single" w:sz="4" w:space="0" w:color="00000A"/>
              <w:left w:val="single" w:sz="4" w:space="0" w:color="00000A"/>
              <w:bottom w:val="single" w:sz="4" w:space="0" w:color="00000A"/>
              <w:right w:val="single" w:sz="4" w:space="0" w:color="00000A"/>
            </w:tcBorders>
            <w:vAlign w:val="center"/>
          </w:tcPr>
          <w:p>
            <w:pPr>
              <w:pStyle w:val="Normal"/>
              <w:spacing w:lineRule="auto" w:line="360"/>
              <w:jc w:val="left"/>
              <w:rPr>
                <w:rFonts w:ascii="Times New Roman" w:hAnsi="Times New Roman" w:cs="Calibri"/>
                <w:b/>
                <w:b/>
                <w:sz w:val="24"/>
                <w:szCs w:val="24"/>
              </w:rPr>
            </w:pPr>
            <w:r>
              <w:rPr>
                <w:rFonts w:cs="Calibri" w:ascii="Times New Roman" w:hAnsi="Times New Roman"/>
                <w:b/>
                <w:sz w:val="24"/>
                <w:szCs w:val="24"/>
              </w:rPr>
            </w:r>
          </w:p>
        </w:tc>
        <w:tc>
          <w:tcPr>
            <w:tcW w:w="1570" w:type="dxa"/>
            <w:tcBorders>
              <w:top w:val="single" w:sz="4" w:space="0" w:color="00000A"/>
              <w:left w:val="single" w:sz="4" w:space="0" w:color="00000A"/>
              <w:bottom w:val="single" w:sz="4" w:space="0" w:color="00000A"/>
              <w:right w:val="single" w:sz="4" w:space="0" w:color="00000A"/>
            </w:tcBorders>
            <w:vAlign w:val="center"/>
          </w:tcPr>
          <w:p>
            <w:pPr>
              <w:pStyle w:val="Normal"/>
              <w:spacing w:lineRule="auto" w:line="360"/>
              <w:jc w:val="left"/>
              <w:rPr>
                <w:rFonts w:ascii="Times New Roman" w:hAnsi="Times New Roman" w:cs="Calibri"/>
                <w:b/>
                <w:b/>
                <w:sz w:val="24"/>
                <w:szCs w:val="24"/>
              </w:rPr>
            </w:pPr>
            <w:r>
              <w:rPr>
                <w:rFonts w:cs="Calibri" w:ascii="Times New Roman" w:hAnsi="Times New Roman"/>
                <w:b/>
                <w:sz w:val="24"/>
                <w:szCs w:val="24"/>
              </w:rPr>
            </w:r>
          </w:p>
        </w:tc>
      </w:tr>
      <w:tr>
        <w:trPr>
          <w:trHeight w:val="465" w:hRule="atLeast"/>
        </w:trPr>
        <w:tc>
          <w:tcPr>
            <w:tcW w:w="2262" w:type="dxa"/>
            <w:tcBorders>
              <w:top w:val="single" w:sz="4" w:space="0" w:color="00000A"/>
              <w:left w:val="single" w:sz="4" w:space="0" w:color="00000A"/>
              <w:bottom w:val="single" w:sz="4" w:space="0" w:color="00000A"/>
              <w:right w:val="single" w:sz="4" w:space="0" w:color="00000A"/>
            </w:tcBorders>
          </w:tcPr>
          <w:p>
            <w:pPr>
              <w:pStyle w:val="Normal"/>
              <w:spacing w:lineRule="auto" w:line="360"/>
              <w:jc w:val="left"/>
              <w:rPr>
                <w:rFonts w:ascii="Times New Roman" w:hAnsi="Times New Roman" w:cs="Calibri"/>
                <w:b/>
                <w:b/>
                <w:sz w:val="24"/>
                <w:szCs w:val="24"/>
              </w:rPr>
            </w:pPr>
            <w:r>
              <w:rPr>
                <w:rFonts w:cs="Calibri" w:ascii="Times New Roman" w:hAnsi="Times New Roman"/>
                <w:b/>
                <w:sz w:val="24"/>
                <w:szCs w:val="24"/>
              </w:rPr>
            </w:r>
          </w:p>
        </w:tc>
        <w:tc>
          <w:tcPr>
            <w:tcW w:w="3828" w:type="dxa"/>
            <w:tcBorders>
              <w:top w:val="single" w:sz="4" w:space="0" w:color="00000A"/>
              <w:left w:val="single" w:sz="4" w:space="0" w:color="00000A"/>
              <w:bottom w:val="single" w:sz="4" w:space="0" w:color="00000A"/>
              <w:right w:val="single" w:sz="4" w:space="0" w:color="00000A"/>
            </w:tcBorders>
            <w:vAlign w:val="center"/>
          </w:tcPr>
          <w:p>
            <w:pPr>
              <w:pStyle w:val="Normal"/>
              <w:spacing w:lineRule="auto" w:line="360"/>
              <w:jc w:val="left"/>
              <w:rPr>
                <w:rFonts w:ascii="Times New Roman" w:hAnsi="Times New Roman" w:cs="Calibri"/>
                <w:b/>
                <w:b/>
                <w:sz w:val="24"/>
                <w:szCs w:val="24"/>
              </w:rPr>
            </w:pPr>
            <w:r>
              <w:rPr>
                <w:rFonts w:cs="Calibri" w:ascii="Times New Roman" w:hAnsi="Times New Roman"/>
                <w:b/>
                <w:sz w:val="24"/>
                <w:szCs w:val="24"/>
              </w:rPr>
            </w:r>
          </w:p>
        </w:tc>
        <w:tc>
          <w:tcPr>
            <w:tcW w:w="1570" w:type="dxa"/>
            <w:tcBorders>
              <w:top w:val="single" w:sz="4" w:space="0" w:color="00000A"/>
              <w:left w:val="single" w:sz="4" w:space="0" w:color="00000A"/>
              <w:bottom w:val="single" w:sz="4" w:space="0" w:color="00000A"/>
              <w:right w:val="single" w:sz="4" w:space="0" w:color="00000A"/>
            </w:tcBorders>
            <w:vAlign w:val="center"/>
          </w:tcPr>
          <w:p>
            <w:pPr>
              <w:pStyle w:val="Normal"/>
              <w:spacing w:lineRule="auto" w:line="360"/>
              <w:jc w:val="left"/>
              <w:rPr>
                <w:rFonts w:ascii="Times New Roman" w:hAnsi="Times New Roman" w:cs="Calibri"/>
                <w:b/>
                <w:b/>
                <w:sz w:val="24"/>
                <w:szCs w:val="24"/>
              </w:rPr>
            </w:pPr>
            <w:r>
              <w:rPr>
                <w:rFonts w:cs="Calibri" w:ascii="Times New Roman" w:hAnsi="Times New Roman"/>
                <w:b/>
                <w:sz w:val="24"/>
                <w:szCs w:val="24"/>
              </w:rPr>
            </w:r>
          </w:p>
        </w:tc>
      </w:tr>
      <w:tr>
        <w:trPr>
          <w:trHeight w:val="465" w:hRule="atLeast"/>
        </w:trPr>
        <w:tc>
          <w:tcPr>
            <w:tcW w:w="2262" w:type="dxa"/>
            <w:tcBorders>
              <w:top w:val="single" w:sz="4" w:space="0" w:color="00000A"/>
              <w:left w:val="single" w:sz="4" w:space="0" w:color="00000A"/>
              <w:bottom w:val="single" w:sz="4" w:space="0" w:color="00000A"/>
              <w:right w:val="single" w:sz="4" w:space="0" w:color="00000A"/>
            </w:tcBorders>
          </w:tcPr>
          <w:p>
            <w:pPr>
              <w:pStyle w:val="Normal"/>
              <w:spacing w:lineRule="auto" w:line="360"/>
              <w:jc w:val="left"/>
              <w:rPr>
                <w:rFonts w:ascii="Times New Roman" w:hAnsi="Times New Roman" w:cs="Calibri"/>
                <w:b/>
                <w:b/>
                <w:sz w:val="24"/>
                <w:szCs w:val="24"/>
              </w:rPr>
            </w:pPr>
            <w:r>
              <w:rPr>
                <w:rFonts w:cs="Calibri" w:ascii="Times New Roman" w:hAnsi="Times New Roman"/>
                <w:b/>
                <w:sz w:val="24"/>
                <w:szCs w:val="24"/>
              </w:rPr>
            </w:r>
          </w:p>
        </w:tc>
        <w:tc>
          <w:tcPr>
            <w:tcW w:w="3828" w:type="dxa"/>
            <w:tcBorders>
              <w:top w:val="single" w:sz="4" w:space="0" w:color="00000A"/>
              <w:left w:val="single" w:sz="4" w:space="0" w:color="00000A"/>
              <w:bottom w:val="single" w:sz="4" w:space="0" w:color="00000A"/>
              <w:right w:val="single" w:sz="4" w:space="0" w:color="00000A"/>
            </w:tcBorders>
            <w:vAlign w:val="center"/>
          </w:tcPr>
          <w:p>
            <w:pPr>
              <w:pStyle w:val="Normal"/>
              <w:spacing w:lineRule="auto" w:line="360"/>
              <w:jc w:val="left"/>
              <w:rPr>
                <w:rFonts w:ascii="Times New Roman" w:hAnsi="Times New Roman" w:cs="Calibri"/>
                <w:b/>
                <w:b/>
                <w:sz w:val="24"/>
                <w:szCs w:val="24"/>
              </w:rPr>
            </w:pPr>
            <w:r>
              <w:rPr>
                <w:rFonts w:cs="Calibri" w:ascii="Times New Roman" w:hAnsi="Times New Roman"/>
                <w:b/>
                <w:sz w:val="24"/>
                <w:szCs w:val="24"/>
              </w:rPr>
            </w:r>
          </w:p>
        </w:tc>
        <w:tc>
          <w:tcPr>
            <w:tcW w:w="1570" w:type="dxa"/>
            <w:tcBorders>
              <w:top w:val="single" w:sz="4" w:space="0" w:color="00000A"/>
              <w:left w:val="single" w:sz="4" w:space="0" w:color="00000A"/>
              <w:bottom w:val="single" w:sz="4" w:space="0" w:color="00000A"/>
              <w:right w:val="single" w:sz="4" w:space="0" w:color="00000A"/>
            </w:tcBorders>
            <w:vAlign w:val="center"/>
          </w:tcPr>
          <w:p>
            <w:pPr>
              <w:pStyle w:val="Normal"/>
              <w:spacing w:lineRule="auto" w:line="360"/>
              <w:jc w:val="left"/>
              <w:rPr>
                <w:rFonts w:ascii="Times New Roman" w:hAnsi="Times New Roman" w:cs="Calibri"/>
                <w:b/>
                <w:b/>
                <w:sz w:val="24"/>
                <w:szCs w:val="24"/>
              </w:rPr>
            </w:pPr>
            <w:r>
              <w:rPr>
                <w:rFonts w:cs="Calibri" w:ascii="Times New Roman" w:hAnsi="Times New Roman"/>
                <w:b/>
                <w:sz w:val="24"/>
                <w:szCs w:val="24"/>
              </w:rPr>
            </w:r>
          </w:p>
        </w:tc>
      </w:tr>
    </w:tbl>
    <w:p>
      <w:pPr>
        <w:pStyle w:val="Normal"/>
        <w:spacing w:lineRule="auto" w:line="360" w:before="120" w:after="0"/>
        <w:ind w:left="0" w:right="0" w:hanging="426"/>
        <w:jc w:val="left"/>
        <w:rPr>
          <w:rFonts w:ascii="Times New Roman" w:hAnsi="Times New Roman" w:cs="Calibri"/>
          <w:b/>
          <w:b/>
          <w:bCs/>
          <w:sz w:val="24"/>
          <w:szCs w:val="24"/>
        </w:rPr>
      </w:pPr>
      <w:r>
        <w:rPr>
          <w:rFonts w:cs="Calibri" w:ascii="Times New Roman" w:hAnsi="Times New Roman"/>
          <w:b/>
          <w:bCs/>
          <w:sz w:val="24"/>
          <w:szCs w:val="24"/>
        </w:rPr>
      </w:r>
      <w:bookmarkEnd w:id="4"/>
    </w:p>
    <w:p>
      <w:pPr>
        <w:pStyle w:val="ListParagraph"/>
        <w:numPr>
          <w:ilvl w:val="0"/>
          <w:numId w:val="0"/>
        </w:numPr>
        <w:spacing w:lineRule="auto" w:line="360" w:before="120" w:after="200"/>
        <w:ind w:left="0" w:right="0" w:hanging="0"/>
        <w:jc w:val="left"/>
        <w:rPr>
          <w:rFonts w:ascii="Times New Roman" w:hAnsi="Times New Roman" w:cs="Calibri"/>
          <w:sz w:val="24"/>
          <w:szCs w:val="24"/>
        </w:rPr>
      </w:pPr>
      <w:r>
        <w:rPr>
          <w:rFonts w:cs="Calibri" w:ascii="Times New Roman" w:hAnsi="Times New Roman"/>
          <w:sz w:val="24"/>
          <w:szCs w:val="24"/>
        </w:rPr>
        <w:t>4. Cena jednostkowa netto, o której mowa w ust. 3 obejmuje wszystkie koszty i składniki związane z realizacją przedmiotu Umowy. Cena może ulec zmianie wyłącznie w przypadku zaistnienia okoliczności o których mowa w § 11. Cena jednostkowa netto określona w ust. 3 obowiązuje również dla nowych obiektów Zamawiającego wprowadzonych do umowy.</w:t>
      </w:r>
    </w:p>
    <w:p>
      <w:pPr>
        <w:pStyle w:val="ListParagraph"/>
        <w:numPr>
          <w:ilvl w:val="0"/>
          <w:numId w:val="0"/>
        </w:numPr>
        <w:spacing w:lineRule="auto" w:line="360" w:before="120" w:after="200"/>
        <w:ind w:left="0" w:right="0" w:hanging="0"/>
        <w:jc w:val="left"/>
        <w:rPr>
          <w:rFonts w:ascii="Times New Roman" w:hAnsi="Times New Roman"/>
          <w:sz w:val="24"/>
          <w:szCs w:val="24"/>
        </w:rPr>
      </w:pPr>
      <w:r>
        <w:rPr>
          <w:rFonts w:cs="Calibri" w:ascii="Times New Roman" w:hAnsi="Times New Roman"/>
          <w:sz w:val="24"/>
          <w:szCs w:val="24"/>
        </w:rPr>
        <w:t>5. Szacunkowe przewidywane łączne wynagrodzenie Wykonawcy wyniesie</w:t>
      </w:r>
      <w:r>
        <w:rPr>
          <w:rFonts w:cs="Calibri" w:ascii="Times New Roman" w:hAnsi="Times New Roman"/>
          <w:b/>
          <w:bCs/>
          <w:sz w:val="24"/>
          <w:szCs w:val="24"/>
        </w:rPr>
        <w:t xml:space="preserve"> ………………………. złotych brutto</w:t>
      </w:r>
      <w:r>
        <w:rPr>
          <w:rFonts w:cs="Calibri" w:ascii="Times New Roman" w:hAnsi="Times New Roman"/>
          <w:sz w:val="24"/>
          <w:szCs w:val="24"/>
        </w:rPr>
        <w:t xml:space="preserve"> (słownie: …................................................................... …………………………………………………………………………………………….…) przy uwzględnieniu prognozy oraz szacowanego zużycia wskazanego w §2 ust. 2 Umowy, </w:t>
        <w:br/>
        <w:t>w odniesieniu do punktu poboru zgodnie z Załącznikiem nr 1 do Formularza ofertowego.</w:t>
      </w:r>
    </w:p>
    <w:p>
      <w:pPr>
        <w:pStyle w:val="ListParagraph"/>
        <w:numPr>
          <w:ilvl w:val="0"/>
          <w:numId w:val="0"/>
        </w:numPr>
        <w:spacing w:lineRule="auto" w:line="360" w:before="120" w:after="200"/>
        <w:ind w:left="0" w:right="0" w:hanging="0"/>
        <w:jc w:val="left"/>
        <w:rPr>
          <w:rFonts w:ascii="Times New Roman" w:hAnsi="Times New Roman" w:cs="Calibri"/>
          <w:sz w:val="24"/>
          <w:szCs w:val="24"/>
        </w:rPr>
      </w:pPr>
      <w:r>
        <w:rPr>
          <w:rFonts w:cs="Calibri" w:ascii="Times New Roman" w:hAnsi="Times New Roman"/>
          <w:sz w:val="24"/>
          <w:szCs w:val="24"/>
        </w:rPr>
        <w:t xml:space="preserve">6. Strony ustalają za sprzedaną Wykonawcy energię elektryczną cenę netto obliczoną jako iloczyn wyrażonej w MWh ilości energii elektrycznej wytworzonej w instalacji OZE Zamawiającego oraz wyrażonej w zł/MWh ceny jednostkowej netto wyliczonej zgodnie </w:t>
        <w:br/>
        <w:t xml:space="preserve">z poniższym wzorem: </w:t>
      </w:r>
    </w:p>
    <w:p>
      <w:pPr>
        <w:pStyle w:val="Normal"/>
        <w:tabs>
          <w:tab w:val="clear" w:pos="708"/>
          <w:tab w:val="left" w:pos="284" w:leader="none"/>
          <w:tab w:val="left" w:pos="993" w:leader="none"/>
        </w:tabs>
        <w:spacing w:lineRule="auto" w:line="360"/>
        <w:jc w:val="center"/>
        <w:rPr>
          <w:rFonts w:ascii="Times New Roman" w:hAnsi="Times New Roman" w:cs="Calibri"/>
          <w:sz w:val="24"/>
          <w:szCs w:val="24"/>
        </w:rPr>
      </w:pPr>
      <w:r>
        <w:rPr>
          <w:rFonts w:cs="Calibri" w:ascii="Times New Roman" w:hAnsi="Times New Roman"/>
          <w:sz w:val="24"/>
          <w:szCs w:val="24"/>
        </w:rPr>
        <w:t>N=……%CPURE*EW</w:t>
      </w:r>
    </w:p>
    <w:p>
      <w:pPr>
        <w:pStyle w:val="Normal"/>
        <w:tabs>
          <w:tab w:val="clear" w:pos="708"/>
          <w:tab w:val="left" w:pos="284" w:leader="none"/>
          <w:tab w:val="left" w:pos="993" w:leader="none"/>
        </w:tabs>
        <w:spacing w:lineRule="auto" w:line="360"/>
        <w:jc w:val="left"/>
        <w:rPr>
          <w:rFonts w:ascii="Times New Roman" w:hAnsi="Times New Roman" w:cs="Calibri"/>
          <w:sz w:val="24"/>
          <w:szCs w:val="24"/>
        </w:rPr>
      </w:pPr>
      <w:r>
        <w:rPr>
          <w:rFonts w:cs="Calibri" w:ascii="Times New Roman" w:hAnsi="Times New Roman"/>
          <w:sz w:val="24"/>
          <w:szCs w:val="24"/>
        </w:rPr>
        <w:t>gdzie:</w:t>
      </w:r>
    </w:p>
    <w:p>
      <w:pPr>
        <w:pStyle w:val="Normal"/>
        <w:tabs>
          <w:tab w:val="clear" w:pos="708"/>
          <w:tab w:val="left" w:pos="284" w:leader="none"/>
          <w:tab w:val="left" w:pos="993" w:leader="none"/>
        </w:tabs>
        <w:spacing w:lineRule="auto" w:line="360"/>
        <w:jc w:val="left"/>
        <w:rPr>
          <w:rFonts w:ascii="Times New Roman" w:hAnsi="Times New Roman" w:cs="Calibri"/>
          <w:sz w:val="24"/>
          <w:szCs w:val="24"/>
        </w:rPr>
      </w:pPr>
      <w:r>
        <w:rPr>
          <w:rFonts w:cs="Calibri" w:ascii="Times New Roman" w:hAnsi="Times New Roman"/>
          <w:sz w:val="24"/>
          <w:szCs w:val="24"/>
        </w:rPr>
        <w:t>N – cena odkupu wyprodukowanej energii elektrycznej,</w:t>
      </w:r>
    </w:p>
    <w:p>
      <w:pPr>
        <w:pStyle w:val="Normal"/>
        <w:tabs>
          <w:tab w:val="clear" w:pos="708"/>
          <w:tab w:val="left" w:pos="284" w:leader="none"/>
          <w:tab w:val="left" w:pos="993" w:leader="none"/>
        </w:tabs>
        <w:spacing w:lineRule="auto" w:line="360"/>
        <w:jc w:val="left"/>
        <w:rPr>
          <w:rFonts w:ascii="Times New Roman" w:hAnsi="Times New Roman" w:cs="Calibri"/>
          <w:sz w:val="24"/>
          <w:szCs w:val="24"/>
        </w:rPr>
      </w:pPr>
      <w:r>
        <w:rPr>
          <w:rFonts w:cs="Calibri" w:ascii="Times New Roman" w:hAnsi="Times New Roman"/>
          <w:sz w:val="24"/>
          <w:szCs w:val="24"/>
        </w:rPr>
        <w:t>CPURE – cena kontraktowa (średnia cena sprzedaży energii elektrycznej na rynku konkurencyjnym w poprzednim kwartale, ogłoszona przez Prezesa URE, o której mowa w art. 23 ust. 2 pkt 18a ustawy Prawo energetyczne) [zł/MWh]</w:t>
      </w:r>
    </w:p>
    <w:p>
      <w:pPr>
        <w:pStyle w:val="Normal"/>
        <w:tabs>
          <w:tab w:val="clear" w:pos="708"/>
          <w:tab w:val="left" w:pos="284" w:leader="none"/>
          <w:tab w:val="left" w:pos="993" w:leader="none"/>
        </w:tabs>
        <w:spacing w:lineRule="auto" w:line="360"/>
        <w:jc w:val="left"/>
        <w:rPr>
          <w:rFonts w:ascii="Times New Roman" w:hAnsi="Times New Roman" w:cs="Calibri"/>
          <w:sz w:val="24"/>
          <w:szCs w:val="24"/>
        </w:rPr>
      </w:pPr>
      <w:r>
        <w:rPr>
          <w:rFonts w:cs="Calibri" w:ascii="Times New Roman" w:hAnsi="Times New Roman"/>
          <w:sz w:val="24"/>
          <w:szCs w:val="24"/>
        </w:rPr>
        <w:t>EW – to ilość rzeczywiście wprowadzonej energii elektrycznej do sieci OSD w danym okresie rozliczeniowym,</w:t>
      </w:r>
    </w:p>
    <w:p>
      <w:pPr>
        <w:pStyle w:val="Normal"/>
        <w:tabs>
          <w:tab w:val="clear" w:pos="708"/>
          <w:tab w:val="left" w:pos="284" w:leader="none"/>
          <w:tab w:val="left" w:pos="993" w:leader="none"/>
        </w:tabs>
        <w:spacing w:lineRule="auto" w:line="360"/>
        <w:jc w:val="left"/>
        <w:rPr>
          <w:rFonts w:ascii="Times New Roman" w:hAnsi="Times New Roman" w:cs="Calibri"/>
          <w:sz w:val="24"/>
          <w:szCs w:val="24"/>
        </w:rPr>
      </w:pPr>
      <w:r>
        <w:rPr>
          <w:rFonts w:cs="Calibri" w:ascii="Times New Roman" w:hAnsi="Times New Roman"/>
          <w:sz w:val="24"/>
          <w:szCs w:val="24"/>
        </w:rPr>
        <w:t xml:space="preserve">Do łącznej ceny zostanie naliczony podatek VAT zgodnie z obowiązującymi przepisami. </w:t>
      </w:r>
    </w:p>
    <w:p>
      <w:pPr>
        <w:pStyle w:val="Normal"/>
        <w:spacing w:lineRule="auto" w:line="360"/>
        <w:ind w:left="0" w:right="0" w:hanging="567"/>
        <w:jc w:val="left"/>
        <w:rPr>
          <w:rFonts w:ascii="Times New Roman" w:hAnsi="Times New Roman" w:cs="Calibri"/>
          <w:sz w:val="24"/>
          <w:szCs w:val="24"/>
        </w:rPr>
      </w:pPr>
      <w:r>
        <w:rPr>
          <w:rFonts w:cs="Calibri" w:ascii="Times New Roman" w:hAnsi="Times New Roman"/>
          <w:sz w:val="24"/>
          <w:szCs w:val="24"/>
        </w:rPr>
        <w:t xml:space="preserve"> </w:t>
      </w:r>
    </w:p>
    <w:p>
      <w:pPr>
        <w:pStyle w:val="Normal"/>
        <w:tabs>
          <w:tab w:val="clear" w:pos="708"/>
          <w:tab w:val="left" w:pos="567" w:leader="none"/>
        </w:tabs>
        <w:spacing w:lineRule="auto" w:line="360"/>
        <w:jc w:val="center"/>
        <w:rPr>
          <w:rFonts w:ascii="Times New Roman" w:hAnsi="Times New Roman" w:cs="Calibri"/>
          <w:b/>
          <w:b/>
          <w:sz w:val="24"/>
          <w:szCs w:val="24"/>
        </w:rPr>
      </w:pPr>
      <w:r>
        <w:rPr>
          <w:rFonts w:cs="Calibri" w:ascii="Times New Roman" w:hAnsi="Times New Roman"/>
          <w:b/>
          <w:sz w:val="24"/>
          <w:szCs w:val="24"/>
        </w:rPr>
        <w:t>§ 6</w:t>
      </w:r>
    </w:p>
    <w:p>
      <w:pPr>
        <w:pStyle w:val="ListParagraph"/>
        <w:numPr>
          <w:ilvl w:val="0"/>
          <w:numId w:val="0"/>
        </w:numPr>
        <w:tabs>
          <w:tab w:val="clear" w:pos="708"/>
          <w:tab w:val="left" w:pos="567" w:leader="none"/>
        </w:tabs>
        <w:overflowPunct w:val="true"/>
        <w:spacing w:lineRule="auto" w:line="360"/>
        <w:ind w:left="0" w:right="0" w:hanging="0"/>
        <w:jc w:val="left"/>
        <w:rPr>
          <w:rFonts w:ascii="Times New Roman" w:hAnsi="Times New Roman"/>
          <w:sz w:val="24"/>
          <w:szCs w:val="24"/>
        </w:rPr>
      </w:pPr>
      <w:r>
        <w:rPr>
          <w:rFonts w:cs="Calibri" w:ascii="Times New Roman" w:hAnsi="Times New Roman"/>
          <w:sz w:val="24"/>
          <w:szCs w:val="24"/>
        </w:rPr>
        <w:t xml:space="preserve">1. Rozliczenia za pobraną energię elektryczną odbywać się będą na podstawie odczytów układów pomiarowo – rozliczeniowych zgodnie z okresem rozliczeniowym lokalnego OSD, lecz nie częściej niż co miesiąc. Wykonawca otrzymywać będzie wynagrodzenie z tytułu realizacji niniejszej umowy w wysokości określonej w § 5 ust. 3 za 1 kWh zużytej energii elektrycznej na podstawie wskazań układu/układów pomiarowo – rozliczeniowego/rozliczeniowych udostępnionych przez OSD w danym okresie rozliczeniowym do punktu poboru energii elektrycznej </w:t>
      </w:r>
      <w:r>
        <w:rPr>
          <w:rFonts w:cs="Calibri" w:ascii="Times New Roman" w:hAnsi="Times New Roman"/>
          <w:b/>
          <w:sz w:val="24"/>
          <w:szCs w:val="24"/>
        </w:rPr>
        <w:t xml:space="preserve">Zamawiającego </w:t>
      </w:r>
      <w:r>
        <w:rPr>
          <w:rFonts w:cs="Calibri" w:ascii="Times New Roman" w:hAnsi="Times New Roman"/>
          <w:sz w:val="24"/>
          <w:szCs w:val="24"/>
        </w:rPr>
        <w:t>ujętego w załączniku nr 1 do Formularza ofertowego, powiększone o podatek VAT.</w:t>
      </w:r>
    </w:p>
    <w:p>
      <w:pPr>
        <w:pStyle w:val="ListParagraph"/>
        <w:numPr>
          <w:ilvl w:val="0"/>
          <w:numId w:val="0"/>
        </w:numPr>
        <w:tabs>
          <w:tab w:val="clear" w:pos="708"/>
          <w:tab w:val="left" w:pos="567" w:leader="none"/>
        </w:tabs>
        <w:overflowPunct w:val="true"/>
        <w:spacing w:lineRule="auto" w:line="360"/>
        <w:ind w:left="0" w:right="0" w:hanging="0"/>
        <w:jc w:val="left"/>
        <w:rPr>
          <w:rFonts w:ascii="Times New Roman" w:hAnsi="Times New Roman"/>
          <w:sz w:val="24"/>
          <w:szCs w:val="24"/>
        </w:rPr>
      </w:pPr>
      <w:r>
        <w:rPr>
          <w:rFonts w:cs="Calibri" w:ascii="Times New Roman" w:hAnsi="Times New Roman"/>
          <w:sz w:val="24"/>
          <w:szCs w:val="24"/>
        </w:rPr>
        <w:t xml:space="preserve">2. Faktury będą obejmować wynagrodzenie jedynie za rzeczywiście pobraną energię w danym okresie rozliczeniowym, ustaloną na podstawie wskazań układu pomiarowo-rozliczeniowego lub danych pomiarowo-rozliczeniowych, udostępnianych </w:t>
      </w:r>
      <w:r>
        <w:rPr>
          <w:rFonts w:cs="Calibri" w:ascii="Times New Roman" w:hAnsi="Times New Roman"/>
          <w:b/>
          <w:sz w:val="24"/>
          <w:szCs w:val="24"/>
        </w:rPr>
        <w:t>Wykonawcy</w:t>
      </w:r>
      <w:r>
        <w:rPr>
          <w:rFonts w:cs="Calibri" w:ascii="Times New Roman" w:hAnsi="Times New Roman"/>
          <w:sz w:val="24"/>
          <w:szCs w:val="24"/>
        </w:rPr>
        <w:t xml:space="preserve"> przez </w:t>
      </w:r>
      <w:r>
        <w:rPr>
          <w:rFonts w:cs="Calibri" w:ascii="Times New Roman" w:hAnsi="Times New Roman"/>
          <w:b/>
          <w:sz w:val="24"/>
          <w:szCs w:val="24"/>
        </w:rPr>
        <w:t>OSD</w:t>
      </w:r>
      <w:r>
        <w:rPr>
          <w:rFonts w:cs="Calibri" w:ascii="Times New Roman" w:hAnsi="Times New Roman"/>
          <w:sz w:val="24"/>
          <w:szCs w:val="24"/>
        </w:rPr>
        <w:t>.</w:t>
      </w:r>
    </w:p>
    <w:p>
      <w:pPr>
        <w:pStyle w:val="ListParagraph"/>
        <w:numPr>
          <w:ilvl w:val="0"/>
          <w:numId w:val="0"/>
        </w:numPr>
        <w:tabs>
          <w:tab w:val="clear" w:pos="708"/>
          <w:tab w:val="left" w:pos="567" w:leader="none"/>
        </w:tabs>
        <w:overflowPunct w:val="true"/>
        <w:spacing w:lineRule="auto" w:line="360"/>
        <w:ind w:left="0" w:right="0" w:hanging="0"/>
        <w:jc w:val="left"/>
        <w:rPr>
          <w:rFonts w:ascii="Times New Roman" w:hAnsi="Times New Roman" w:cs="Calibri"/>
          <w:sz w:val="24"/>
          <w:szCs w:val="24"/>
        </w:rPr>
      </w:pPr>
      <w:r>
        <w:rPr>
          <w:rFonts w:cs="Calibri" w:ascii="Times New Roman" w:hAnsi="Times New Roman"/>
          <w:sz w:val="24"/>
          <w:szCs w:val="24"/>
        </w:rPr>
        <w:t xml:space="preserve">3. W przypadku stwierdzenia błędów w pomiarze lub odczycie wskazań układu pomiarowo-rozliczeniowego, które spowodowały zaniżenie lub zawyżenie faktycznie pobranej energii elektrycznej Strony są zobowiązane do przekazania środków finansowych należnych za energię elektryczną na podstawie ilości energii elektrycznej stanowiącej średnią liczbę jednostek energii elektrycznej za okres doby (obliczaną na podstawie sumy jednostek energii elektrycznej prawidłowo wykazanych przez układ pomiarowo-rozliczeniowy </w:t>
        <w:br/>
        <w:t xml:space="preserve">w poprzednim okresie rozliczeniowym, podzieloną przez liczbę dni tego okresu rozliczeniowego), pomnożoną przez liczbę dni okresu, którego dotyczy korekta faktury. </w:t>
        <w:br/>
        <w:t xml:space="preserve">W wyliczaniu wielkości korekty należy uwzględnić sezonowość poboru energii elektrycznej oraz inne udokumentowane okoliczności mające wpływ na wielkość poboru tej energii. </w:t>
      </w:r>
    </w:p>
    <w:p>
      <w:pPr>
        <w:pStyle w:val="ListParagraph"/>
        <w:numPr>
          <w:ilvl w:val="0"/>
          <w:numId w:val="0"/>
        </w:numPr>
        <w:tabs>
          <w:tab w:val="clear" w:pos="708"/>
          <w:tab w:val="left" w:pos="567" w:leader="none"/>
        </w:tabs>
        <w:overflowPunct w:val="true"/>
        <w:spacing w:lineRule="auto" w:line="360"/>
        <w:ind w:left="0" w:right="0" w:hanging="0"/>
        <w:jc w:val="left"/>
        <w:rPr>
          <w:rFonts w:ascii="Times New Roman" w:hAnsi="Times New Roman" w:cs="Calibri"/>
          <w:sz w:val="24"/>
          <w:szCs w:val="24"/>
        </w:rPr>
      </w:pPr>
      <w:r>
        <w:rPr>
          <w:rFonts w:cs="Calibri" w:ascii="Times New Roman" w:hAnsi="Times New Roman"/>
          <w:sz w:val="24"/>
          <w:szCs w:val="24"/>
        </w:rPr>
        <w:t>4. Podstawą do wyliczenia wielkości korekty faktury jest:</w:t>
      </w:r>
    </w:p>
    <w:p>
      <w:pPr>
        <w:pStyle w:val="ListParagraph"/>
        <w:numPr>
          <w:ilvl w:val="0"/>
          <w:numId w:val="19"/>
        </w:numPr>
        <w:tabs>
          <w:tab w:val="clear" w:pos="708"/>
          <w:tab w:val="left" w:pos="567" w:leader="none"/>
        </w:tabs>
        <w:overflowPunct w:val="true"/>
        <w:spacing w:lineRule="auto" w:line="360"/>
        <w:ind w:left="284" w:right="0" w:hanging="284"/>
        <w:jc w:val="left"/>
        <w:rPr>
          <w:rFonts w:ascii="Times New Roman" w:hAnsi="Times New Roman" w:cs="Calibri"/>
          <w:sz w:val="24"/>
          <w:szCs w:val="24"/>
        </w:rPr>
      </w:pPr>
      <w:r>
        <w:rPr>
          <w:rFonts w:cs="Calibri" w:ascii="Times New Roman" w:hAnsi="Times New Roman"/>
          <w:sz w:val="24"/>
          <w:szCs w:val="24"/>
        </w:rPr>
        <w:t xml:space="preserve">wielkość błędu odczytu lub wskazań układu pomiarowo-rozliczeniowego </w:t>
      </w:r>
    </w:p>
    <w:p>
      <w:pPr>
        <w:pStyle w:val="ListParagraph"/>
        <w:numPr>
          <w:ilvl w:val="0"/>
          <w:numId w:val="19"/>
        </w:numPr>
        <w:tabs>
          <w:tab w:val="clear" w:pos="708"/>
          <w:tab w:val="left" w:pos="567" w:leader="none"/>
        </w:tabs>
        <w:overflowPunct w:val="true"/>
        <w:spacing w:lineRule="auto" w:line="360"/>
        <w:ind w:left="284" w:right="0" w:hanging="284"/>
        <w:jc w:val="left"/>
        <w:rPr>
          <w:rFonts w:ascii="Times New Roman" w:hAnsi="Times New Roman" w:cs="Calibri"/>
          <w:sz w:val="24"/>
          <w:szCs w:val="24"/>
        </w:rPr>
      </w:pPr>
      <w:r>
        <w:rPr>
          <w:rFonts w:cs="Calibri" w:ascii="Times New Roman" w:hAnsi="Times New Roman"/>
          <w:sz w:val="24"/>
          <w:szCs w:val="24"/>
        </w:rPr>
        <w:t>jeżeli określenie wielkości błędu, o którym mowa w lit. A, nie jest możliwe, podstawę do wyliczenia wielkości korekty stanowi średnia liczba jednostek energii elektrycznej za okres doby (obliczaną na podstawie sumy jednostek energii elektrycznej prawidłowo wykazanych przez układ pomiarowo-rozliczeniowy w poprzednim okresie rozliczeniowym, podzieloną przez liczbę dni tego okresu rozliczeniowego), pomnożoną przez liczbę dni okresu, którego dotyczy korekta faktury.</w:t>
      </w:r>
    </w:p>
    <w:p>
      <w:pPr>
        <w:pStyle w:val="ListParagraph"/>
        <w:numPr>
          <w:ilvl w:val="0"/>
          <w:numId w:val="0"/>
        </w:numPr>
        <w:tabs>
          <w:tab w:val="clear" w:pos="708"/>
          <w:tab w:val="left" w:pos="567" w:leader="none"/>
        </w:tabs>
        <w:overflowPunct w:val="true"/>
        <w:spacing w:lineRule="auto" w:line="360"/>
        <w:ind w:left="0" w:right="0" w:hanging="0"/>
        <w:jc w:val="left"/>
        <w:rPr>
          <w:rFonts w:ascii="Times New Roman" w:hAnsi="Times New Roman" w:cs="Calibri"/>
          <w:sz w:val="24"/>
          <w:szCs w:val="24"/>
        </w:rPr>
      </w:pPr>
      <w:r>
        <w:rPr>
          <w:rFonts w:cs="Calibri" w:ascii="Times New Roman" w:hAnsi="Times New Roman"/>
          <w:sz w:val="24"/>
          <w:szCs w:val="24"/>
        </w:rPr>
        <w:t>5. Jeżeli nie można ustalić średniego dobowego zużycia energii elektrycznej na podstawie poprzedniego okresu rozliczeniowego, podstawą wyliczenia wielkości korekty jest wskazanie układu pomiarowo-rozliczeniowego z następnego okresu rozliczeniowego.</w:t>
      </w:r>
    </w:p>
    <w:p>
      <w:pPr>
        <w:pStyle w:val="ListParagraph"/>
        <w:numPr>
          <w:ilvl w:val="0"/>
          <w:numId w:val="0"/>
        </w:numPr>
        <w:tabs>
          <w:tab w:val="clear" w:pos="708"/>
          <w:tab w:val="left" w:pos="567" w:leader="none"/>
        </w:tabs>
        <w:overflowPunct w:val="true"/>
        <w:spacing w:lineRule="auto" w:line="360"/>
        <w:ind w:left="0" w:right="0" w:hanging="0"/>
        <w:jc w:val="left"/>
        <w:rPr>
          <w:rFonts w:ascii="Times New Roman" w:hAnsi="Times New Roman" w:cs="Calibri"/>
          <w:sz w:val="24"/>
          <w:szCs w:val="24"/>
        </w:rPr>
      </w:pPr>
      <w:r>
        <w:rPr>
          <w:rFonts w:cs="Calibri" w:ascii="Times New Roman" w:hAnsi="Times New Roman"/>
          <w:sz w:val="24"/>
          <w:szCs w:val="24"/>
        </w:rPr>
        <w:t>6. W wyliczaniu wielkości korekty należy uwzględnić sezonowość poboru energii elektrycznej oraz inne udokumentowane okoliczności mające wpływ na wielkość poboru tej energii.</w:t>
      </w:r>
    </w:p>
    <w:p>
      <w:pPr>
        <w:pStyle w:val="ListParagraph"/>
        <w:numPr>
          <w:ilvl w:val="0"/>
          <w:numId w:val="0"/>
        </w:numPr>
        <w:tabs>
          <w:tab w:val="clear" w:pos="708"/>
          <w:tab w:val="left" w:pos="567" w:leader="none"/>
        </w:tabs>
        <w:overflowPunct w:val="true"/>
        <w:spacing w:lineRule="auto" w:line="360"/>
        <w:ind w:left="0" w:right="0" w:hanging="0"/>
        <w:jc w:val="left"/>
        <w:rPr>
          <w:rFonts w:ascii="Times New Roman" w:hAnsi="Times New Roman" w:cs="Calibri"/>
          <w:sz w:val="24"/>
          <w:szCs w:val="24"/>
        </w:rPr>
      </w:pPr>
      <w:r>
        <w:rPr>
          <w:rFonts w:cs="Calibri" w:ascii="Times New Roman" w:hAnsi="Times New Roman"/>
          <w:sz w:val="24"/>
          <w:szCs w:val="24"/>
        </w:rPr>
        <w:t>7. Jeżeli błędy wskazane w ust. 3 spowodowały zawyżenie lub zaniżenie należności za dostarczoną energię elektryczną Wykonawca jest obowiązany dokonać korekty uprzednio wystawionych faktur. Nadpłata wynikająca z korekty rozliczeń wskazanych w fakturze korygującej podlega zaliczeniu na poczet płatności w najbliższym okresie rozliczeniowym. W przypadku powstania niedopłaty będzie ona podlegała doliczeniu do pierwszej wystawianej faktury.</w:t>
      </w:r>
    </w:p>
    <w:p>
      <w:pPr>
        <w:pStyle w:val="ListParagraph"/>
        <w:numPr>
          <w:ilvl w:val="0"/>
          <w:numId w:val="0"/>
        </w:numPr>
        <w:tabs>
          <w:tab w:val="clear" w:pos="708"/>
          <w:tab w:val="left" w:pos="567" w:leader="none"/>
        </w:tabs>
        <w:overflowPunct w:val="true"/>
        <w:spacing w:lineRule="auto" w:line="360"/>
        <w:ind w:left="0" w:right="0" w:hanging="0"/>
        <w:jc w:val="left"/>
        <w:rPr>
          <w:rFonts w:ascii="Times New Roman" w:hAnsi="Times New Roman" w:cs="Calibri"/>
          <w:sz w:val="24"/>
          <w:szCs w:val="24"/>
        </w:rPr>
      </w:pPr>
      <w:r>
        <w:rPr>
          <w:rFonts w:cs="Calibri" w:ascii="Times New Roman" w:hAnsi="Times New Roman"/>
          <w:sz w:val="24"/>
          <w:szCs w:val="24"/>
        </w:rPr>
        <w:t>8. Wykonawca dokonuje również korekty faktur wystawionych z zastosowaniem cen innych niż ceny wymienione w § 5 ust. 3.</w:t>
      </w:r>
    </w:p>
    <w:p>
      <w:pPr>
        <w:pStyle w:val="ListParagraph"/>
        <w:numPr>
          <w:ilvl w:val="0"/>
          <w:numId w:val="0"/>
        </w:numPr>
        <w:tabs>
          <w:tab w:val="clear" w:pos="708"/>
          <w:tab w:val="left" w:pos="567" w:leader="none"/>
        </w:tabs>
        <w:overflowPunct w:val="true"/>
        <w:spacing w:lineRule="auto" w:line="360"/>
        <w:ind w:left="0" w:right="0" w:hanging="0"/>
        <w:jc w:val="left"/>
        <w:rPr>
          <w:rFonts w:ascii="Times New Roman" w:hAnsi="Times New Roman"/>
          <w:sz w:val="24"/>
          <w:szCs w:val="24"/>
        </w:rPr>
      </w:pPr>
      <w:r>
        <w:rPr>
          <w:rFonts w:cs="Calibri" w:ascii="Times New Roman" w:hAnsi="Times New Roman"/>
          <w:bCs/>
          <w:iCs/>
          <w:sz w:val="24"/>
          <w:szCs w:val="24"/>
        </w:rPr>
        <w:t xml:space="preserve">9. Strony ustalają następujący sposób rozliczeń, w którym </w:t>
      </w:r>
      <w:r>
        <w:rPr>
          <w:rFonts w:cs="Calibri" w:ascii="Times New Roman" w:hAnsi="Times New Roman"/>
          <w:b/>
          <w:bCs/>
          <w:iCs/>
          <w:sz w:val="24"/>
          <w:szCs w:val="24"/>
        </w:rPr>
        <w:t>Wykonawca</w:t>
      </w:r>
      <w:r>
        <w:rPr>
          <w:rFonts w:cs="Calibri" w:ascii="Times New Roman" w:hAnsi="Times New Roman"/>
          <w:bCs/>
          <w:iCs/>
          <w:sz w:val="24"/>
          <w:szCs w:val="24"/>
        </w:rPr>
        <w:t xml:space="preserve"> wystawia </w:t>
      </w:r>
      <w:r>
        <w:rPr>
          <w:rFonts w:cs="Calibri" w:ascii="Times New Roman" w:hAnsi="Times New Roman"/>
          <w:b/>
          <w:bCs/>
          <w:iCs/>
          <w:sz w:val="24"/>
          <w:szCs w:val="24"/>
        </w:rPr>
        <w:t>Zamawiającemu</w:t>
      </w:r>
      <w:r>
        <w:rPr>
          <w:rFonts w:cs="Calibri" w:ascii="Times New Roman" w:hAnsi="Times New Roman"/>
          <w:bCs/>
          <w:iCs/>
          <w:sz w:val="24"/>
          <w:szCs w:val="24"/>
        </w:rPr>
        <w:t xml:space="preserve"> na koniec okresu rozliczeniowego stosowanego przez OSD fakturę rozliczeniową, z terminem płatności </w:t>
      </w:r>
      <w:r>
        <w:rPr>
          <w:rFonts w:cs="Calibri" w:ascii="Times New Roman" w:hAnsi="Times New Roman"/>
          <w:sz w:val="24"/>
          <w:szCs w:val="24"/>
        </w:rPr>
        <w:t xml:space="preserve">określonym na 30 dni od daty prawidłowego wystawienia faktury VAT przez </w:t>
      </w:r>
      <w:r>
        <w:rPr>
          <w:rFonts w:cs="Calibri" w:ascii="Times New Roman" w:hAnsi="Times New Roman"/>
          <w:b/>
          <w:sz w:val="24"/>
          <w:szCs w:val="24"/>
        </w:rPr>
        <w:t>Wykonawcę</w:t>
      </w:r>
      <w:r>
        <w:rPr>
          <w:rFonts w:cs="Calibri" w:ascii="Times New Roman" w:hAnsi="Times New Roman"/>
          <w:sz w:val="24"/>
          <w:szCs w:val="24"/>
        </w:rPr>
        <w:t xml:space="preserve">, przelewem na rachunek bankowy wskazany na fakturze VAT. </w:t>
      </w:r>
      <w:r>
        <w:rPr>
          <w:rFonts w:cs="Calibri" w:ascii="Times New Roman" w:hAnsi="Times New Roman"/>
          <w:b/>
          <w:sz w:val="24"/>
          <w:szCs w:val="24"/>
        </w:rPr>
        <w:t>Wykonawca</w:t>
      </w:r>
      <w:r>
        <w:rPr>
          <w:rFonts w:cs="Calibri" w:ascii="Times New Roman" w:hAnsi="Times New Roman"/>
          <w:sz w:val="24"/>
          <w:szCs w:val="24"/>
        </w:rPr>
        <w:t xml:space="preserve"> zobowiązany jest do doręczenia faktury na co najmniej </w:t>
        <w:br/>
        <w:t xml:space="preserve">23 dni przed określonym terminem płatności. W razie niezachowania tego terminu, termin płatności wskazany w fakturze VAT zostanie </w:t>
      </w:r>
      <w:r>
        <w:rPr>
          <w:rFonts w:cs="Calibri" w:ascii="Times New Roman" w:hAnsi="Times New Roman"/>
          <w:iCs/>
          <w:sz w:val="24"/>
          <w:szCs w:val="24"/>
        </w:rPr>
        <w:t>na pisemny wniosek Odbiorcy przedłużony o czas opóźnienia.</w:t>
      </w:r>
      <w:r>
        <w:rPr>
          <w:rFonts w:cs="Calibri" w:ascii="Times New Roman" w:hAnsi="Times New Roman"/>
          <w:sz w:val="24"/>
          <w:szCs w:val="24"/>
        </w:rPr>
        <w:t xml:space="preserve"> Ponadto, w przypadku, gdy </w:t>
      </w:r>
      <w:r>
        <w:rPr>
          <w:rFonts w:cs="Calibri" w:ascii="Times New Roman" w:hAnsi="Times New Roman"/>
          <w:b/>
          <w:sz w:val="24"/>
          <w:szCs w:val="24"/>
        </w:rPr>
        <w:t>Wykonawca</w:t>
      </w:r>
      <w:r>
        <w:rPr>
          <w:rFonts w:cs="Calibri" w:ascii="Times New Roman" w:hAnsi="Times New Roman"/>
          <w:sz w:val="24"/>
          <w:szCs w:val="24"/>
        </w:rPr>
        <w:t xml:space="preserve"> wystawi </w:t>
      </w:r>
      <w:r>
        <w:rPr>
          <w:rFonts w:cs="Calibri" w:ascii="Times New Roman" w:hAnsi="Times New Roman"/>
          <w:b/>
          <w:sz w:val="24"/>
          <w:szCs w:val="24"/>
        </w:rPr>
        <w:t>Zamawiającemu</w:t>
      </w:r>
      <w:r>
        <w:rPr>
          <w:rFonts w:cs="Calibri" w:ascii="Times New Roman" w:hAnsi="Times New Roman"/>
          <w:sz w:val="24"/>
          <w:szCs w:val="24"/>
        </w:rPr>
        <w:t xml:space="preserve"> fakturę w terminie przekraczającym termin umowny (koniec okresu rozliczeniowego stosowanego przez OSD) o 30 dni, zapłaci on </w:t>
      </w:r>
      <w:r>
        <w:rPr>
          <w:rFonts w:cs="Calibri" w:ascii="Times New Roman" w:hAnsi="Times New Roman"/>
          <w:b/>
          <w:sz w:val="24"/>
          <w:szCs w:val="24"/>
        </w:rPr>
        <w:t>Zamawiającemu</w:t>
      </w:r>
      <w:r>
        <w:rPr>
          <w:rFonts w:cs="Calibri" w:ascii="Times New Roman" w:hAnsi="Times New Roman"/>
          <w:sz w:val="24"/>
          <w:szCs w:val="24"/>
        </w:rPr>
        <w:t xml:space="preserve"> karę umowną w wysokości 20 PLN za każdy punkt poboru energii objęty niniejszą Umową za każdy dzień opóźnienia. </w:t>
      </w:r>
      <w:r>
        <w:rPr>
          <w:rFonts w:cs="Calibri" w:ascii="Times New Roman" w:hAnsi="Times New Roman"/>
          <w:iCs/>
          <w:sz w:val="24"/>
          <w:szCs w:val="24"/>
        </w:rPr>
        <w:t xml:space="preserve">Termin zapłaty kary umownej wynosi 7 dni od dnia doręczenia Wykonawcy wezwania do zapłaty. W razie opóźnienia z zapłatą kary umownej Zamawiający może żądać odsetek ustawowych za opóźnienie za każdy dzień opóźnienia. </w:t>
      </w:r>
    </w:p>
    <w:p>
      <w:pPr>
        <w:pStyle w:val="ListParagraph"/>
        <w:numPr>
          <w:ilvl w:val="0"/>
          <w:numId w:val="0"/>
        </w:numPr>
        <w:tabs>
          <w:tab w:val="clear" w:pos="708"/>
          <w:tab w:val="left" w:pos="567" w:leader="none"/>
        </w:tabs>
        <w:overflowPunct w:val="true"/>
        <w:spacing w:lineRule="auto" w:line="360"/>
        <w:ind w:left="0" w:right="0" w:hanging="0"/>
        <w:jc w:val="left"/>
        <w:rPr>
          <w:rFonts w:ascii="Times New Roman" w:hAnsi="Times New Roman"/>
          <w:sz w:val="24"/>
          <w:szCs w:val="24"/>
        </w:rPr>
      </w:pPr>
      <w:r>
        <w:rPr>
          <w:rFonts w:cs="Calibri" w:ascii="Times New Roman" w:hAnsi="Times New Roman"/>
          <w:sz w:val="24"/>
          <w:szCs w:val="24"/>
        </w:rPr>
        <w:t xml:space="preserve">10. Wykonawca na fakturze wskazuje odpowiedni do spełnienia świadczenia wynikającego                           z niniejszej Umowy rachunek rozliczeniowy lub rachunek wirtualny, który jest powiązany </w:t>
        <w:br/>
        <w:t>z rachunkiem rozliczeniowym należącym do Wykonawcy znajdującym się w elektronicznym wykazie podmiotów prowadzonych przez Szefa Krajowej Administracji Skarbowej zgodnie z art. 96b ust.3 pkt 13 ustawy o podatku od towarów i usług (VAT). W przypadku, gdy Wykonawca jest czynnym podatnikiem podatku od towarów i usług (podatku VAT) Zamawiający zastrzega sobie prawo do wstrzymania wypłaty wynagrodzenia, jeżeli wskazany do zapłaty rachunek rozliczeniowy, bądź w przypadku rachunku wirtualnego – powiązany z nim rachunek rozliczeniowy - nie znajduje się na udostępnionym przez Szefa Krajowej Administracji Skarbowej wykazie podmiotów zarejestrowanych jako podatnicy VAT, do czasu wskazania przez Wykonawcę dla potrzeb płatności rachunku rozliczeniowego, a w przypadku rachunku wirtualnego – powiązanego z nim rachunku rozliczeniowego, ujawnionego w wykazie podatników VAT.</w:t>
      </w:r>
      <w:r>
        <w:rPr>
          <w:rFonts w:cs="Calibri" w:ascii="Times New Roman" w:hAnsi="Times New Roman"/>
          <w:i/>
          <w:iCs/>
          <w:sz w:val="24"/>
          <w:szCs w:val="24"/>
        </w:rPr>
        <w:t xml:space="preserve"> </w:t>
      </w:r>
      <w:r>
        <w:rPr>
          <w:rFonts w:cs="Calibri" w:ascii="Times New Roman" w:hAnsi="Times New Roman"/>
          <w:sz w:val="24"/>
          <w:szCs w:val="24"/>
        </w:rPr>
        <w:t xml:space="preserve"> Wstrzymanie płatności nie stanowi opóźnienia upoważnionego do naliczenia przez Wykonawcę odsetek za opóźnienie w płatności.</w:t>
      </w:r>
    </w:p>
    <w:p>
      <w:pPr>
        <w:pStyle w:val="Normal"/>
        <w:spacing w:lineRule="auto" w:line="360"/>
        <w:jc w:val="center"/>
        <w:rPr>
          <w:rFonts w:ascii="Times New Roman" w:hAnsi="Times New Roman" w:cs="Calibri"/>
          <w:b/>
          <w:b/>
          <w:sz w:val="24"/>
          <w:szCs w:val="24"/>
        </w:rPr>
      </w:pPr>
      <w:r>
        <w:rPr>
          <w:rFonts w:cs="Calibri" w:ascii="Times New Roman" w:hAnsi="Times New Roman"/>
          <w:b/>
          <w:sz w:val="24"/>
          <w:szCs w:val="24"/>
        </w:rPr>
        <w:t>§ 7</w:t>
      </w:r>
    </w:p>
    <w:p>
      <w:pPr>
        <w:pStyle w:val="ListParagraph"/>
        <w:numPr>
          <w:ilvl w:val="0"/>
          <w:numId w:val="7"/>
        </w:numPr>
        <w:overflowPunct w:val="true"/>
        <w:spacing w:lineRule="auto" w:line="360"/>
        <w:jc w:val="left"/>
        <w:rPr>
          <w:rFonts w:ascii="Times New Roman" w:hAnsi="Times New Roman"/>
          <w:sz w:val="24"/>
          <w:szCs w:val="24"/>
        </w:rPr>
      </w:pPr>
      <w:r>
        <w:rPr>
          <w:rFonts w:cs="Calibri" w:ascii="Times New Roman" w:hAnsi="Times New Roman"/>
          <w:b/>
          <w:bCs/>
          <w:sz w:val="24"/>
          <w:szCs w:val="24"/>
        </w:rPr>
        <w:t>Strony</w:t>
      </w:r>
      <w:r>
        <w:rPr>
          <w:rFonts w:cs="Calibri" w:ascii="Times New Roman" w:hAnsi="Times New Roman"/>
          <w:sz w:val="24"/>
          <w:szCs w:val="24"/>
        </w:rPr>
        <w:t xml:space="preserve"> określają, że terminem spełnienia świadczenia jest dzień uznania rachunku bankowego </w:t>
      </w:r>
      <w:r>
        <w:rPr>
          <w:rFonts w:cs="Calibri" w:ascii="Times New Roman" w:hAnsi="Times New Roman"/>
          <w:b/>
          <w:sz w:val="24"/>
          <w:szCs w:val="24"/>
        </w:rPr>
        <w:t xml:space="preserve">Wykonawcy. </w:t>
      </w:r>
    </w:p>
    <w:p>
      <w:pPr>
        <w:pStyle w:val="ListParagraph"/>
        <w:numPr>
          <w:ilvl w:val="0"/>
          <w:numId w:val="7"/>
        </w:numPr>
        <w:overflowPunct w:val="true"/>
        <w:spacing w:lineRule="auto" w:line="360"/>
        <w:jc w:val="left"/>
        <w:rPr>
          <w:rFonts w:ascii="Times New Roman" w:hAnsi="Times New Roman"/>
          <w:sz w:val="24"/>
          <w:szCs w:val="24"/>
        </w:rPr>
      </w:pPr>
      <w:r>
        <w:rPr>
          <w:rFonts w:cs="Calibri" w:ascii="Times New Roman" w:hAnsi="Times New Roman"/>
          <w:sz w:val="24"/>
          <w:szCs w:val="24"/>
        </w:rPr>
        <w:t xml:space="preserve">W przypadku niedotrzymania terminu płatności faktur, </w:t>
      </w:r>
      <w:r>
        <w:rPr>
          <w:rFonts w:cs="Calibri" w:ascii="Times New Roman" w:hAnsi="Times New Roman"/>
          <w:b/>
          <w:sz w:val="24"/>
          <w:szCs w:val="24"/>
        </w:rPr>
        <w:t>Wykonawca</w:t>
      </w:r>
      <w:r>
        <w:rPr>
          <w:rFonts w:cs="Calibri" w:ascii="Times New Roman" w:hAnsi="Times New Roman"/>
          <w:sz w:val="24"/>
          <w:szCs w:val="24"/>
        </w:rPr>
        <w:t xml:space="preserve"> obciąża </w:t>
      </w:r>
      <w:r>
        <w:rPr>
          <w:rFonts w:cs="Calibri" w:ascii="Times New Roman" w:hAnsi="Times New Roman"/>
          <w:b/>
          <w:sz w:val="24"/>
          <w:szCs w:val="24"/>
        </w:rPr>
        <w:t xml:space="preserve">Zamawiającego </w:t>
      </w:r>
      <w:r>
        <w:rPr>
          <w:rFonts w:cs="Calibri" w:ascii="Times New Roman" w:hAnsi="Times New Roman"/>
          <w:sz w:val="24"/>
          <w:szCs w:val="24"/>
        </w:rPr>
        <w:t>odsetkami ustawowymi.</w:t>
      </w:r>
    </w:p>
    <w:p>
      <w:pPr>
        <w:pStyle w:val="ListParagraph"/>
        <w:numPr>
          <w:ilvl w:val="0"/>
          <w:numId w:val="7"/>
        </w:numPr>
        <w:overflowPunct w:val="true"/>
        <w:spacing w:lineRule="auto" w:line="360"/>
        <w:jc w:val="left"/>
        <w:rPr>
          <w:rFonts w:ascii="Times New Roman" w:hAnsi="Times New Roman"/>
          <w:sz w:val="24"/>
          <w:szCs w:val="24"/>
        </w:rPr>
      </w:pPr>
      <w:r>
        <w:rPr>
          <w:rFonts w:cs="Calibri" w:ascii="Times New Roman" w:hAnsi="Times New Roman"/>
          <w:sz w:val="24"/>
          <w:szCs w:val="24"/>
        </w:rPr>
        <w:t xml:space="preserve">O zmianach danych kont bankowych lub danych adresowych </w:t>
      </w:r>
      <w:r>
        <w:rPr>
          <w:rFonts w:cs="Calibri" w:ascii="Times New Roman" w:hAnsi="Times New Roman"/>
          <w:b/>
          <w:bCs/>
          <w:sz w:val="24"/>
          <w:szCs w:val="24"/>
        </w:rPr>
        <w:t>Strony</w:t>
      </w:r>
      <w:r>
        <w:rPr>
          <w:rFonts w:cs="Calibri" w:ascii="Times New Roman" w:hAnsi="Times New Roman"/>
          <w:sz w:val="24"/>
          <w:szCs w:val="24"/>
        </w:rPr>
        <w:t xml:space="preserve"> zobowiązują się wzajemnie powiadamiać, pod rygorem poniesienia kosztów związanych z mylnymi operacjami bankowymi.</w:t>
      </w:r>
    </w:p>
    <w:p>
      <w:pPr>
        <w:pStyle w:val="Normal"/>
        <w:spacing w:lineRule="auto" w:line="360"/>
        <w:jc w:val="center"/>
        <w:rPr>
          <w:rFonts w:ascii="Times New Roman" w:hAnsi="Times New Roman" w:cs="Calibri"/>
          <w:b/>
          <w:b/>
          <w:sz w:val="24"/>
          <w:szCs w:val="24"/>
        </w:rPr>
      </w:pPr>
      <w:r>
        <w:rPr>
          <w:rFonts w:cs="Calibri" w:ascii="Times New Roman" w:hAnsi="Times New Roman"/>
          <w:b/>
          <w:sz w:val="24"/>
          <w:szCs w:val="24"/>
        </w:rPr>
        <w:t>§ 8</w:t>
      </w:r>
    </w:p>
    <w:p>
      <w:pPr>
        <w:pStyle w:val="ListParagraph"/>
        <w:numPr>
          <w:ilvl w:val="0"/>
          <w:numId w:val="8"/>
        </w:numPr>
        <w:tabs>
          <w:tab w:val="clear" w:pos="708"/>
          <w:tab w:val="left" w:pos="567" w:leader="none"/>
        </w:tabs>
        <w:overflowPunct w:val="true"/>
        <w:spacing w:lineRule="auto" w:line="360"/>
        <w:jc w:val="left"/>
        <w:rPr>
          <w:rFonts w:ascii="Times New Roman" w:hAnsi="Times New Roman" w:cs="Calibri"/>
          <w:sz w:val="24"/>
          <w:szCs w:val="24"/>
        </w:rPr>
      </w:pPr>
      <w:r>
        <w:rPr>
          <w:rFonts w:cs="Calibri" w:ascii="Times New Roman" w:hAnsi="Times New Roman"/>
          <w:sz w:val="24"/>
          <w:szCs w:val="24"/>
        </w:rPr>
        <w:t>Wykonawcy przysługuje prawo złożenia do OSD wniosku o wstrzymanie dostarczania energii w przypadku, gdy Zamawiający zwleka z zapłatą za pobraną energię elektryczną, co najmniej 30 dni po upływie terminu płatności. Przed złożeniem wniosku Wykonawca zobowiązany jest powiadomić na piśmie Zamawiającego o zamiarze wstrzymania dostarczania energii elektrycznej, jeżeli odbiorca ten nie ureguluje zaległych i bieżących należności w okresie 14 dni od dnia otrzymania tego powiadomienia.</w:t>
      </w:r>
    </w:p>
    <w:p>
      <w:pPr>
        <w:pStyle w:val="ListParagraph"/>
        <w:numPr>
          <w:ilvl w:val="0"/>
          <w:numId w:val="8"/>
        </w:numPr>
        <w:tabs>
          <w:tab w:val="clear" w:pos="708"/>
          <w:tab w:val="left" w:pos="567" w:leader="none"/>
        </w:tabs>
        <w:overflowPunct w:val="true"/>
        <w:spacing w:lineRule="auto" w:line="360"/>
        <w:jc w:val="left"/>
        <w:rPr>
          <w:rFonts w:ascii="Times New Roman" w:hAnsi="Times New Roman"/>
          <w:sz w:val="24"/>
          <w:szCs w:val="24"/>
        </w:rPr>
      </w:pPr>
      <w:r>
        <w:rPr>
          <w:rFonts w:cs="Calibri" w:ascii="Times New Roman" w:hAnsi="Times New Roman"/>
          <w:bCs/>
          <w:sz w:val="24"/>
          <w:szCs w:val="24"/>
        </w:rPr>
        <w:t xml:space="preserve">Wstrzymanie sprzedaży energii elektrycznej następuje poprzez wstrzymanie dostarczania energii elektrycznej przez </w:t>
      </w:r>
      <w:r>
        <w:rPr>
          <w:rFonts w:cs="Calibri" w:ascii="Times New Roman" w:hAnsi="Times New Roman"/>
          <w:b/>
          <w:bCs/>
          <w:sz w:val="24"/>
          <w:szCs w:val="24"/>
        </w:rPr>
        <w:t>OSD</w:t>
      </w:r>
      <w:r>
        <w:rPr>
          <w:rFonts w:cs="Calibri" w:ascii="Times New Roman" w:hAnsi="Times New Roman"/>
          <w:bCs/>
          <w:sz w:val="24"/>
          <w:szCs w:val="24"/>
        </w:rPr>
        <w:t xml:space="preserve"> na wniosek </w:t>
      </w:r>
      <w:r>
        <w:rPr>
          <w:rFonts w:cs="Calibri" w:ascii="Times New Roman" w:hAnsi="Times New Roman"/>
          <w:b/>
          <w:bCs/>
          <w:sz w:val="24"/>
          <w:szCs w:val="24"/>
        </w:rPr>
        <w:t>Wykonawcy</w:t>
      </w:r>
      <w:r>
        <w:rPr>
          <w:rFonts w:cs="Calibri" w:ascii="Times New Roman" w:hAnsi="Times New Roman"/>
          <w:bCs/>
          <w:sz w:val="24"/>
          <w:szCs w:val="24"/>
        </w:rPr>
        <w:t xml:space="preserve">, po pisemnym powiadomieniu </w:t>
      </w:r>
      <w:r>
        <w:rPr>
          <w:rFonts w:cs="Calibri" w:ascii="Times New Roman" w:hAnsi="Times New Roman"/>
          <w:b/>
          <w:bCs/>
          <w:sz w:val="24"/>
          <w:szCs w:val="24"/>
        </w:rPr>
        <w:t>Zamawiającego.</w:t>
      </w:r>
    </w:p>
    <w:p>
      <w:pPr>
        <w:pStyle w:val="ListParagraph"/>
        <w:numPr>
          <w:ilvl w:val="0"/>
          <w:numId w:val="8"/>
        </w:numPr>
        <w:tabs>
          <w:tab w:val="clear" w:pos="708"/>
          <w:tab w:val="left" w:pos="567" w:leader="none"/>
        </w:tabs>
        <w:overflowPunct w:val="true"/>
        <w:spacing w:lineRule="auto" w:line="360"/>
        <w:jc w:val="left"/>
        <w:rPr>
          <w:rFonts w:ascii="Times New Roman" w:hAnsi="Times New Roman" w:cs="Calibri"/>
          <w:bCs/>
          <w:sz w:val="24"/>
          <w:szCs w:val="24"/>
        </w:rPr>
      </w:pPr>
      <w:r>
        <w:rPr>
          <w:rFonts w:cs="Calibri" w:ascii="Times New Roman" w:hAnsi="Times New Roman"/>
          <w:bCs/>
          <w:sz w:val="24"/>
          <w:szCs w:val="24"/>
        </w:rPr>
        <w:t>Wstrzymanie sprzedaży energii dotyczyć będzie obiektu, na którym występuje zadłużenie.</w:t>
      </w:r>
    </w:p>
    <w:p>
      <w:pPr>
        <w:pStyle w:val="ListParagraph"/>
        <w:numPr>
          <w:ilvl w:val="0"/>
          <w:numId w:val="8"/>
        </w:numPr>
        <w:tabs>
          <w:tab w:val="clear" w:pos="708"/>
          <w:tab w:val="left" w:pos="567" w:leader="none"/>
        </w:tabs>
        <w:overflowPunct w:val="true"/>
        <w:spacing w:lineRule="auto" w:line="360"/>
        <w:jc w:val="left"/>
        <w:rPr>
          <w:rFonts w:ascii="Times New Roman" w:hAnsi="Times New Roman"/>
          <w:sz w:val="24"/>
          <w:szCs w:val="24"/>
        </w:rPr>
      </w:pPr>
      <w:r>
        <w:rPr>
          <w:rFonts w:cs="Calibri" w:ascii="Times New Roman" w:hAnsi="Times New Roman"/>
          <w:sz w:val="24"/>
          <w:szCs w:val="24"/>
        </w:rPr>
        <w:t xml:space="preserve">Wznowienie dostarczania energii elektrycznej i świadczenie usług dystrybucji przez </w:t>
      </w:r>
      <w:r>
        <w:rPr>
          <w:rFonts w:cs="Calibri" w:ascii="Times New Roman" w:hAnsi="Times New Roman"/>
          <w:b/>
          <w:bCs/>
          <w:sz w:val="24"/>
          <w:szCs w:val="24"/>
        </w:rPr>
        <w:t xml:space="preserve">OSD </w:t>
      </w:r>
      <w:r>
        <w:rPr>
          <w:rFonts w:cs="Calibri" w:ascii="Times New Roman" w:hAnsi="Times New Roman"/>
          <w:bCs/>
          <w:sz w:val="24"/>
          <w:szCs w:val="24"/>
        </w:rPr>
        <w:t xml:space="preserve">na wniosek </w:t>
      </w:r>
      <w:r>
        <w:rPr>
          <w:rFonts w:cs="Calibri" w:ascii="Times New Roman" w:hAnsi="Times New Roman"/>
          <w:b/>
          <w:bCs/>
          <w:sz w:val="24"/>
          <w:szCs w:val="24"/>
        </w:rPr>
        <w:t>Wykonawcy</w:t>
      </w:r>
      <w:r>
        <w:rPr>
          <w:rFonts w:cs="Calibri" w:ascii="Times New Roman" w:hAnsi="Times New Roman"/>
          <w:sz w:val="24"/>
          <w:szCs w:val="24"/>
        </w:rPr>
        <w:t xml:space="preserve"> może nastąpić po uregulowaniu zaległych należności za energię elektryczną oraz dodatkowych opłat związanych ze wznowieniem dostawy energii na rzecz </w:t>
      </w:r>
      <w:r>
        <w:rPr>
          <w:rFonts w:cs="Calibri" w:ascii="Times New Roman" w:hAnsi="Times New Roman"/>
          <w:b/>
          <w:sz w:val="24"/>
          <w:szCs w:val="24"/>
        </w:rPr>
        <w:t>OSD</w:t>
      </w:r>
      <w:r>
        <w:rPr>
          <w:rFonts w:cs="Calibri" w:ascii="Times New Roman" w:hAnsi="Times New Roman"/>
          <w:sz w:val="24"/>
          <w:szCs w:val="24"/>
        </w:rPr>
        <w:t xml:space="preserve"> wynikających z jego taryfy.</w:t>
      </w:r>
    </w:p>
    <w:p>
      <w:pPr>
        <w:pStyle w:val="ListParagraph"/>
        <w:numPr>
          <w:ilvl w:val="0"/>
          <w:numId w:val="0"/>
        </w:numPr>
        <w:tabs>
          <w:tab w:val="clear" w:pos="708"/>
          <w:tab w:val="left" w:pos="567" w:leader="none"/>
        </w:tabs>
        <w:overflowPunct w:val="true"/>
        <w:spacing w:lineRule="auto" w:line="360"/>
        <w:ind w:left="283" w:hanging="0"/>
        <w:jc w:val="left"/>
        <w:rPr>
          <w:rFonts w:ascii="Times New Roman" w:hAnsi="Times New Roman" w:cs="Calibri"/>
          <w:sz w:val="24"/>
          <w:szCs w:val="24"/>
        </w:rPr>
      </w:pPr>
      <w:r>
        <w:rPr>
          <w:rFonts w:cs="Calibri" w:ascii="Times New Roman" w:hAnsi="Times New Roman"/>
          <w:sz w:val="24"/>
          <w:szCs w:val="24"/>
        </w:rPr>
      </w:r>
    </w:p>
    <w:p>
      <w:pPr>
        <w:pStyle w:val="Normal"/>
        <w:spacing w:lineRule="auto" w:line="360"/>
        <w:jc w:val="center"/>
        <w:rPr>
          <w:rFonts w:ascii="Times New Roman" w:hAnsi="Times New Roman" w:cs="Calibri"/>
          <w:b/>
          <w:b/>
          <w:sz w:val="24"/>
          <w:szCs w:val="24"/>
        </w:rPr>
      </w:pPr>
      <w:r>
        <w:rPr>
          <w:rFonts w:cs="Calibri" w:ascii="Times New Roman" w:hAnsi="Times New Roman"/>
          <w:b/>
          <w:sz w:val="24"/>
          <w:szCs w:val="24"/>
        </w:rPr>
        <w:t>§ 9</w:t>
      </w:r>
    </w:p>
    <w:p>
      <w:pPr>
        <w:pStyle w:val="ListParagraph"/>
        <w:numPr>
          <w:ilvl w:val="0"/>
          <w:numId w:val="10"/>
        </w:numPr>
        <w:overflowPunct w:val="true"/>
        <w:spacing w:lineRule="auto" w:line="360"/>
        <w:jc w:val="left"/>
        <w:rPr>
          <w:rFonts w:ascii="Times New Roman" w:hAnsi="Times New Roman"/>
          <w:sz w:val="24"/>
          <w:szCs w:val="24"/>
        </w:rPr>
      </w:pPr>
      <w:r>
        <w:rPr>
          <w:rFonts w:cs="Calibri" w:ascii="Times New Roman" w:hAnsi="Times New Roman"/>
          <w:bCs/>
          <w:iCs/>
          <w:sz w:val="24"/>
          <w:szCs w:val="24"/>
        </w:rPr>
        <w:t xml:space="preserve">Strony ustalają, że rozpoczęcie sprzedaży energii elektrycznej nastąpi </w:t>
      </w:r>
      <w:r>
        <w:rPr>
          <w:rFonts w:cs="Calibri" w:ascii="Times New Roman" w:hAnsi="Times New Roman"/>
          <w:sz w:val="24"/>
          <w:szCs w:val="24"/>
        </w:rPr>
        <w:t>po skutecznym rozwiązaniu umowy, na podstawie której dotychczas Zamawiający kupuje energię elektryczną oraz skutecznym przeprowadzeniu procedury zmiany Sprzedawcy u OSD.</w:t>
      </w:r>
    </w:p>
    <w:p>
      <w:pPr>
        <w:pStyle w:val="Normal"/>
        <w:spacing w:lineRule="auto" w:line="360"/>
        <w:jc w:val="center"/>
        <w:rPr>
          <w:rFonts w:ascii="Times New Roman" w:hAnsi="Times New Roman" w:cs="Calibri"/>
          <w:b/>
          <w:b/>
          <w:sz w:val="24"/>
          <w:szCs w:val="24"/>
        </w:rPr>
      </w:pPr>
      <w:r>
        <w:rPr>
          <w:rFonts w:cs="Calibri" w:ascii="Times New Roman" w:hAnsi="Times New Roman"/>
          <w:b/>
          <w:sz w:val="24"/>
          <w:szCs w:val="24"/>
        </w:rPr>
        <w:t>§ 10</w:t>
      </w:r>
    </w:p>
    <w:p>
      <w:pPr>
        <w:pStyle w:val="ListParagraph"/>
        <w:numPr>
          <w:ilvl w:val="0"/>
          <w:numId w:val="9"/>
        </w:numPr>
        <w:overflowPunct w:val="true"/>
        <w:spacing w:lineRule="auto" w:line="360"/>
        <w:jc w:val="left"/>
        <w:rPr>
          <w:rFonts w:ascii="Times New Roman" w:hAnsi="Times New Roman"/>
          <w:sz w:val="24"/>
          <w:szCs w:val="24"/>
        </w:rPr>
      </w:pPr>
      <w:r>
        <w:rPr>
          <w:rFonts w:cs="Calibri" w:ascii="Times New Roman" w:hAnsi="Times New Roman"/>
          <w:sz w:val="24"/>
          <w:szCs w:val="24"/>
        </w:rPr>
        <w:t xml:space="preserve">Rozwiązanie Umowy nie zwalnia </w:t>
      </w:r>
      <w:r>
        <w:rPr>
          <w:rFonts w:cs="Calibri" w:ascii="Times New Roman" w:hAnsi="Times New Roman"/>
          <w:b/>
          <w:sz w:val="24"/>
          <w:szCs w:val="24"/>
        </w:rPr>
        <w:t>Stron</w:t>
      </w:r>
      <w:r>
        <w:rPr>
          <w:rFonts w:cs="Calibri" w:ascii="Times New Roman" w:hAnsi="Times New Roman"/>
          <w:sz w:val="24"/>
          <w:szCs w:val="24"/>
        </w:rPr>
        <w:t xml:space="preserve"> z obowiązku uregulowania wobec drugiej </w:t>
      </w:r>
      <w:r>
        <w:rPr>
          <w:rFonts w:cs="Calibri" w:ascii="Times New Roman" w:hAnsi="Times New Roman"/>
          <w:b/>
          <w:sz w:val="24"/>
          <w:szCs w:val="24"/>
        </w:rPr>
        <w:t>Strony</w:t>
      </w:r>
      <w:r>
        <w:rPr>
          <w:rFonts w:cs="Calibri" w:ascii="Times New Roman" w:hAnsi="Times New Roman"/>
          <w:sz w:val="24"/>
          <w:szCs w:val="24"/>
        </w:rPr>
        <w:t xml:space="preserve"> wszelkich zobowiązań z niej wynikających.</w:t>
      </w:r>
    </w:p>
    <w:p>
      <w:pPr>
        <w:pStyle w:val="ListParagraph"/>
        <w:numPr>
          <w:ilvl w:val="0"/>
          <w:numId w:val="9"/>
        </w:numPr>
        <w:overflowPunct w:val="true"/>
        <w:spacing w:lineRule="auto" w:line="360"/>
        <w:jc w:val="left"/>
        <w:rPr>
          <w:rFonts w:ascii="Times New Roman" w:hAnsi="Times New Roman"/>
          <w:sz w:val="24"/>
          <w:szCs w:val="24"/>
        </w:rPr>
      </w:pPr>
      <w:r>
        <w:rPr>
          <w:rFonts w:cs="Calibri" w:ascii="Times New Roman" w:hAnsi="Times New Roman"/>
          <w:b/>
          <w:sz w:val="24"/>
          <w:szCs w:val="24"/>
        </w:rPr>
        <w:t>Strony</w:t>
      </w:r>
      <w:r>
        <w:rPr>
          <w:rFonts w:cs="Calibri" w:ascii="Times New Roman" w:hAnsi="Times New Roman"/>
          <w:sz w:val="24"/>
          <w:szCs w:val="24"/>
        </w:rPr>
        <w:t xml:space="preserve"> dopuszczają możliwość dokonania cesji praw i przejęcia obowiązków wynikających z niniejszej Umowy na inny podmiot w przypadku zmiany właściciela lub posiadacza obiektu, do którego dostarczana jest energia elektryczna na podstawie niniejszej Umowy. W takim przypadku cesja nastąpi zgodnie z przepisami Kodeksu Cywilnego.</w:t>
      </w:r>
    </w:p>
    <w:p>
      <w:pPr>
        <w:pStyle w:val="ListParagraph"/>
        <w:numPr>
          <w:ilvl w:val="0"/>
          <w:numId w:val="9"/>
        </w:numPr>
        <w:overflowPunct w:val="true"/>
        <w:spacing w:lineRule="auto" w:line="360"/>
        <w:jc w:val="left"/>
        <w:rPr>
          <w:rFonts w:ascii="Times New Roman" w:hAnsi="Times New Roman"/>
          <w:sz w:val="24"/>
          <w:szCs w:val="24"/>
        </w:rPr>
      </w:pPr>
      <w:r>
        <w:rPr>
          <w:rFonts w:cs="Calibri" w:ascii="Times New Roman" w:hAnsi="Times New Roman"/>
          <w:sz w:val="24"/>
          <w:szCs w:val="24"/>
        </w:rPr>
        <w:t xml:space="preserve">Umowa może być rozwiązana przez </w:t>
      </w:r>
      <w:r>
        <w:rPr>
          <w:rFonts w:cs="Calibri" w:ascii="Times New Roman" w:hAnsi="Times New Roman"/>
          <w:b/>
          <w:sz w:val="24"/>
          <w:szCs w:val="24"/>
        </w:rPr>
        <w:t xml:space="preserve">jedną ze Stron </w:t>
      </w:r>
      <w:r>
        <w:rPr>
          <w:rFonts w:cs="Calibri" w:ascii="Times New Roman" w:hAnsi="Times New Roman"/>
          <w:sz w:val="24"/>
          <w:szCs w:val="24"/>
        </w:rPr>
        <w:t xml:space="preserve">w trybie natychmiastowym </w:t>
        <w:br/>
        <w:t xml:space="preserve">w przypadku, gdy </w:t>
      </w:r>
      <w:r>
        <w:rPr>
          <w:rFonts w:cs="Calibri" w:ascii="Times New Roman" w:hAnsi="Times New Roman"/>
          <w:b/>
          <w:sz w:val="24"/>
          <w:szCs w:val="24"/>
        </w:rPr>
        <w:t xml:space="preserve">druga ze Stron, </w:t>
      </w:r>
      <w:r>
        <w:rPr>
          <w:rFonts w:cs="Calibri" w:ascii="Times New Roman" w:hAnsi="Times New Roman"/>
          <w:sz w:val="24"/>
          <w:szCs w:val="24"/>
        </w:rPr>
        <w:t>pomimo pisemnego wezwania i wyznaczenia dodatkowego 14 dniowego terminu do doprowadzenia do prawidłowego wykonywania Umowy nadal narusza warunki Umowy.</w:t>
      </w:r>
    </w:p>
    <w:p>
      <w:pPr>
        <w:pStyle w:val="ListParagraph"/>
        <w:numPr>
          <w:ilvl w:val="0"/>
          <w:numId w:val="9"/>
        </w:numPr>
        <w:overflowPunct w:val="true"/>
        <w:spacing w:lineRule="auto" w:line="360"/>
        <w:jc w:val="left"/>
        <w:rPr>
          <w:rFonts w:ascii="Times New Roman" w:hAnsi="Times New Roman"/>
          <w:sz w:val="24"/>
          <w:szCs w:val="24"/>
        </w:rPr>
      </w:pPr>
      <w:r>
        <w:rPr>
          <w:rFonts w:cs="Calibri" w:ascii="Times New Roman" w:hAnsi="Times New Roman"/>
          <w:b/>
          <w:sz w:val="24"/>
          <w:szCs w:val="24"/>
        </w:rPr>
        <w:t>Zamawiającemu</w:t>
      </w:r>
      <w:r>
        <w:rPr>
          <w:rFonts w:cs="Calibri" w:ascii="Times New Roman" w:hAnsi="Times New Roman"/>
          <w:sz w:val="24"/>
          <w:szCs w:val="24"/>
        </w:rPr>
        <w:t xml:space="preserve"> przysługuje prawo do odstąpienia od Umowy, gdy:</w:t>
      </w:r>
    </w:p>
    <w:p>
      <w:pPr>
        <w:pStyle w:val="ListParagraph"/>
        <w:numPr>
          <w:ilvl w:val="0"/>
          <w:numId w:val="20"/>
        </w:numPr>
        <w:spacing w:lineRule="auto" w:line="360"/>
        <w:ind w:left="284" w:right="0" w:hanging="284"/>
        <w:jc w:val="left"/>
        <w:rPr>
          <w:rFonts w:ascii="Times New Roman" w:hAnsi="Times New Roman"/>
          <w:sz w:val="24"/>
          <w:szCs w:val="24"/>
        </w:rPr>
      </w:pPr>
      <w:r>
        <w:rPr>
          <w:rFonts w:cs="Calibri" w:ascii="Times New Roman" w:hAnsi="Times New Roman"/>
          <w:sz w:val="24"/>
          <w:szCs w:val="24"/>
        </w:rPr>
        <w:t xml:space="preserve">wystąpi istotna zmiana okoliczności powodująca, że wykonanie Umowy nie leży w interesie publicznym, czego nie można było przewidzieć w chwili zawarcia Umowy, lub dalsze wykonywanie umowy może zagrozić podstawowemu interesowi bezpieczeństwa państwa lub bezpieczeństwu publicznemu - </w:t>
      </w:r>
      <w:r>
        <w:rPr>
          <w:rFonts w:cs="Calibri" w:ascii="Times New Roman" w:hAnsi="Times New Roman"/>
          <w:b/>
          <w:sz w:val="24"/>
          <w:szCs w:val="24"/>
        </w:rPr>
        <w:t>Zamawiający</w:t>
      </w:r>
      <w:r>
        <w:rPr>
          <w:rFonts w:cs="Calibri" w:ascii="Times New Roman" w:hAnsi="Times New Roman"/>
          <w:sz w:val="24"/>
          <w:szCs w:val="24"/>
        </w:rPr>
        <w:t xml:space="preserve"> może odstąpić od Umowy w terminie 30 dni od powzięcia wiadomości o powyższych okolicznościach. W takim wypadku </w:t>
      </w:r>
      <w:r>
        <w:rPr>
          <w:rFonts w:cs="Calibri" w:ascii="Times New Roman" w:hAnsi="Times New Roman"/>
          <w:b/>
          <w:sz w:val="24"/>
          <w:szCs w:val="24"/>
        </w:rPr>
        <w:t>Wykonawca</w:t>
      </w:r>
      <w:r>
        <w:rPr>
          <w:rFonts w:cs="Calibri" w:ascii="Times New Roman" w:hAnsi="Times New Roman"/>
          <w:sz w:val="24"/>
          <w:szCs w:val="24"/>
        </w:rPr>
        <w:t xml:space="preserve"> może żądać jedynie wynagrodzenia należnego za wykonanie części Umowy. </w:t>
      </w:r>
    </w:p>
    <w:p>
      <w:pPr>
        <w:pStyle w:val="ListParagraph"/>
        <w:numPr>
          <w:ilvl w:val="0"/>
          <w:numId w:val="20"/>
        </w:numPr>
        <w:spacing w:lineRule="auto" w:line="360"/>
        <w:ind w:left="284" w:right="0" w:hanging="284"/>
        <w:jc w:val="left"/>
        <w:rPr>
          <w:rFonts w:ascii="Times New Roman" w:hAnsi="Times New Roman"/>
          <w:sz w:val="24"/>
          <w:szCs w:val="24"/>
        </w:rPr>
      </w:pPr>
      <w:r>
        <w:rPr>
          <w:rFonts w:cs="Calibri" w:ascii="Times New Roman" w:hAnsi="Times New Roman"/>
          <w:sz w:val="24"/>
          <w:szCs w:val="24"/>
        </w:rPr>
        <w:t xml:space="preserve">w przypadku rażącego naruszenia przez </w:t>
      </w:r>
      <w:r>
        <w:rPr>
          <w:rFonts w:cs="Calibri" w:ascii="Times New Roman" w:hAnsi="Times New Roman"/>
          <w:b/>
          <w:sz w:val="24"/>
          <w:szCs w:val="24"/>
        </w:rPr>
        <w:t>Wykonawcę</w:t>
      </w:r>
      <w:r>
        <w:rPr>
          <w:rFonts w:cs="Calibri" w:ascii="Times New Roman" w:hAnsi="Times New Roman"/>
          <w:sz w:val="24"/>
          <w:szCs w:val="24"/>
        </w:rPr>
        <w:t xml:space="preserve"> obowiązków wynikających z Umowy, w tym wykonywania przedmiotu Umowy niezgodnie ze złożoną ofertą - </w:t>
      </w:r>
      <w:r>
        <w:rPr>
          <w:rFonts w:cs="Calibri" w:ascii="Times New Roman" w:hAnsi="Times New Roman"/>
          <w:b/>
          <w:sz w:val="24"/>
          <w:szCs w:val="24"/>
        </w:rPr>
        <w:t>Zamawiający</w:t>
      </w:r>
      <w:r>
        <w:rPr>
          <w:rFonts w:cs="Calibri" w:ascii="Times New Roman" w:hAnsi="Times New Roman"/>
          <w:sz w:val="24"/>
          <w:szCs w:val="24"/>
        </w:rPr>
        <w:t xml:space="preserve"> może odstąpić od Umowy w terminie 60 dni od powzięcia wiadomości o powyższych okolicznościach.</w:t>
      </w:r>
    </w:p>
    <w:p>
      <w:pPr>
        <w:pStyle w:val="ListParagraph"/>
        <w:numPr>
          <w:ilvl w:val="0"/>
          <w:numId w:val="9"/>
        </w:numPr>
        <w:spacing w:lineRule="auto" w:line="360"/>
        <w:jc w:val="left"/>
        <w:rPr>
          <w:rFonts w:ascii="Times New Roman" w:hAnsi="Times New Roman"/>
          <w:sz w:val="24"/>
          <w:szCs w:val="24"/>
        </w:rPr>
      </w:pPr>
      <w:r>
        <w:rPr>
          <w:rFonts w:cs="Calibri" w:ascii="Times New Roman" w:hAnsi="Times New Roman"/>
          <w:sz w:val="24"/>
          <w:szCs w:val="24"/>
        </w:rPr>
        <w:t xml:space="preserve">W przypadku, gdy </w:t>
      </w:r>
      <w:r>
        <w:rPr>
          <w:rFonts w:cs="Calibri" w:ascii="Times New Roman" w:hAnsi="Times New Roman"/>
          <w:b/>
          <w:sz w:val="24"/>
          <w:szCs w:val="24"/>
        </w:rPr>
        <w:t>Wykonawca,</w:t>
      </w:r>
      <w:r>
        <w:rPr>
          <w:rFonts w:cs="Calibri" w:ascii="Times New Roman" w:hAnsi="Times New Roman"/>
          <w:sz w:val="24"/>
          <w:szCs w:val="24"/>
        </w:rPr>
        <w:t xml:space="preserve"> z przyczyn leżących po stronie </w:t>
      </w:r>
      <w:r>
        <w:rPr>
          <w:rFonts w:cs="Calibri" w:ascii="Times New Roman" w:hAnsi="Times New Roman"/>
          <w:b/>
          <w:sz w:val="24"/>
          <w:szCs w:val="24"/>
        </w:rPr>
        <w:t>Wykonawcy</w:t>
      </w:r>
      <w:r>
        <w:rPr>
          <w:rFonts w:cs="Calibri" w:ascii="Times New Roman" w:hAnsi="Times New Roman"/>
          <w:sz w:val="24"/>
          <w:szCs w:val="24"/>
        </w:rPr>
        <w:t xml:space="preserve">, zaprzestanie na stałe bądź tymczasowo, sprzedaży energii elektrycznej na rzecz </w:t>
      </w:r>
      <w:r>
        <w:rPr>
          <w:rFonts w:cs="Calibri" w:ascii="Times New Roman" w:hAnsi="Times New Roman"/>
          <w:b/>
          <w:sz w:val="24"/>
          <w:szCs w:val="24"/>
        </w:rPr>
        <w:t>Zamawiającego</w:t>
      </w:r>
      <w:r>
        <w:rPr>
          <w:rFonts w:cs="Calibri" w:ascii="Times New Roman" w:hAnsi="Times New Roman"/>
          <w:sz w:val="24"/>
          <w:szCs w:val="24"/>
        </w:rPr>
        <w:t xml:space="preserve">, skutkiem czego sprzedaż ta będzie realizowana przez tzw. </w:t>
      </w:r>
      <w:r>
        <w:rPr>
          <w:rFonts w:cs="Calibri" w:ascii="Times New Roman" w:hAnsi="Times New Roman"/>
          <w:i/>
          <w:sz w:val="24"/>
          <w:szCs w:val="24"/>
        </w:rPr>
        <w:t>sprzedawcę rezerwowego</w:t>
      </w:r>
      <w:r>
        <w:rPr>
          <w:rFonts w:cs="Calibri" w:ascii="Times New Roman" w:hAnsi="Times New Roman"/>
          <w:sz w:val="24"/>
          <w:szCs w:val="24"/>
        </w:rPr>
        <w:t>, o czym jest mowa w</w:t>
      </w:r>
      <w:r>
        <w:rPr>
          <w:rFonts w:cs="Calibri" w:ascii="Times New Roman" w:hAnsi="Times New Roman"/>
          <w:b/>
          <w:sz w:val="24"/>
          <w:szCs w:val="24"/>
        </w:rPr>
        <w:t xml:space="preserve"> </w:t>
      </w:r>
      <w:r>
        <w:rPr>
          <w:rFonts w:cs="Calibri" w:ascii="Times New Roman" w:hAnsi="Times New Roman"/>
          <w:sz w:val="24"/>
          <w:szCs w:val="24"/>
        </w:rPr>
        <w:t>art. 5aa ust.1 Prawa energetycznego</w:t>
      </w:r>
      <w:r>
        <w:rPr>
          <w:rFonts w:cs="Calibri" w:ascii="Times New Roman" w:hAnsi="Times New Roman"/>
          <w:b/>
          <w:sz w:val="24"/>
          <w:szCs w:val="24"/>
        </w:rPr>
        <w:t>, Wykonawca</w:t>
      </w:r>
      <w:r>
        <w:rPr>
          <w:rFonts w:cs="Calibri" w:ascii="Times New Roman" w:hAnsi="Times New Roman"/>
          <w:sz w:val="24"/>
          <w:szCs w:val="24"/>
        </w:rPr>
        <w:t xml:space="preserve"> będzie zobowiązany do naprawienia powstałej stąd szkody. Za powstałą w takiej sytuacji szkodę uważa się w szczególności różnicę w kosztach zakupu energii elektrycznej od tzw. </w:t>
      </w:r>
      <w:r>
        <w:rPr>
          <w:rFonts w:cs="Calibri" w:ascii="Times New Roman" w:hAnsi="Times New Roman"/>
          <w:i/>
          <w:sz w:val="24"/>
          <w:szCs w:val="24"/>
        </w:rPr>
        <w:t>sprzedawcy rezerwowego</w:t>
      </w:r>
      <w:r>
        <w:rPr>
          <w:rFonts w:cs="Calibri" w:ascii="Times New Roman" w:hAnsi="Times New Roman"/>
          <w:sz w:val="24"/>
          <w:szCs w:val="24"/>
        </w:rPr>
        <w:t xml:space="preserve">, w stosunku do kosztów, jakie powinny były zostać poniesione na podstawie niniejszej Umowy. Dotyczy to całego okresu realizacji sprzedaży energii elektrycznej przez tzw. </w:t>
      </w:r>
      <w:r>
        <w:rPr>
          <w:rFonts w:cs="Calibri" w:ascii="Times New Roman" w:hAnsi="Times New Roman"/>
          <w:i/>
          <w:sz w:val="24"/>
          <w:szCs w:val="24"/>
        </w:rPr>
        <w:t>sprzedawcę rezerwowego</w:t>
      </w:r>
      <w:r>
        <w:rPr>
          <w:rFonts w:cs="Calibri" w:ascii="Times New Roman" w:hAnsi="Times New Roman"/>
          <w:sz w:val="24"/>
          <w:szCs w:val="24"/>
        </w:rPr>
        <w:t xml:space="preserve">, z tym, że nie dłużej niż do chwili wznowienia sprzedaży przez </w:t>
      </w:r>
      <w:r>
        <w:rPr>
          <w:rFonts w:cs="Calibri" w:ascii="Times New Roman" w:hAnsi="Times New Roman"/>
          <w:b/>
          <w:sz w:val="24"/>
          <w:szCs w:val="24"/>
        </w:rPr>
        <w:t>Wykonawcę</w:t>
      </w:r>
      <w:r>
        <w:rPr>
          <w:rFonts w:cs="Calibri" w:ascii="Times New Roman" w:hAnsi="Times New Roman"/>
          <w:sz w:val="24"/>
          <w:szCs w:val="24"/>
        </w:rPr>
        <w:t xml:space="preserve"> bądź innego sprzedawcę energii elektrycznej wyłonionego w postępowaniu o udzielenie zamówienia publicznego, z tym, że nie dłużej niż do dnia, w którym miała zakończyć obowiązywanie niniejsza umowa, zgodnie z § 9 ust. 1. </w:t>
      </w:r>
    </w:p>
    <w:p>
      <w:pPr>
        <w:pStyle w:val="ListParagraph"/>
        <w:numPr>
          <w:ilvl w:val="0"/>
          <w:numId w:val="9"/>
        </w:numPr>
        <w:spacing w:lineRule="auto" w:line="360"/>
        <w:jc w:val="left"/>
        <w:rPr>
          <w:rFonts w:ascii="Times New Roman" w:hAnsi="Times New Roman"/>
          <w:sz w:val="24"/>
          <w:szCs w:val="24"/>
        </w:rPr>
      </w:pPr>
      <w:r>
        <w:rPr>
          <w:rFonts w:cs="Calibri" w:ascii="Times New Roman" w:hAnsi="Times New Roman"/>
          <w:sz w:val="24"/>
          <w:szCs w:val="24"/>
        </w:rPr>
        <w:t xml:space="preserve">W przypadku, gdy </w:t>
      </w:r>
      <w:r>
        <w:rPr>
          <w:rFonts w:cs="Calibri" w:ascii="Times New Roman" w:hAnsi="Times New Roman"/>
          <w:b/>
          <w:sz w:val="24"/>
          <w:szCs w:val="24"/>
        </w:rPr>
        <w:t>Wykonawca,</w:t>
      </w:r>
      <w:r>
        <w:rPr>
          <w:rFonts w:cs="Calibri" w:ascii="Times New Roman" w:hAnsi="Times New Roman"/>
          <w:sz w:val="24"/>
          <w:szCs w:val="24"/>
        </w:rPr>
        <w:t xml:space="preserve"> z przyczyn leżących po stronie </w:t>
      </w:r>
      <w:r>
        <w:rPr>
          <w:rFonts w:cs="Calibri" w:ascii="Times New Roman" w:hAnsi="Times New Roman"/>
          <w:b/>
          <w:sz w:val="24"/>
          <w:szCs w:val="24"/>
        </w:rPr>
        <w:t>Wykonawcy</w:t>
      </w:r>
      <w:r>
        <w:rPr>
          <w:rFonts w:cs="Calibri" w:ascii="Times New Roman" w:hAnsi="Times New Roman"/>
          <w:sz w:val="24"/>
          <w:szCs w:val="24"/>
        </w:rPr>
        <w:t xml:space="preserve">, zaprzestanie na stałe, bądź tymczasowo, sprzedaży energii elektrycznej na rzecz </w:t>
      </w:r>
      <w:r>
        <w:rPr>
          <w:rFonts w:cs="Calibri" w:ascii="Times New Roman" w:hAnsi="Times New Roman"/>
          <w:b/>
          <w:sz w:val="24"/>
          <w:szCs w:val="24"/>
        </w:rPr>
        <w:t>Zamawiającego</w:t>
      </w:r>
      <w:r>
        <w:rPr>
          <w:rFonts w:cs="Calibri" w:ascii="Times New Roman" w:hAnsi="Times New Roman"/>
          <w:sz w:val="24"/>
          <w:szCs w:val="24"/>
        </w:rPr>
        <w:t xml:space="preserve">, skutkiem czego Zamawiający zmuszony będzie wyłonić innego Wykonawcę w postępowaniu o udzielenie zamówienia publicznego, a cena zaoferowana przez innego Wykonawcę będzie wyższa od ceny wskazanej w niniejszej umowie, </w:t>
      </w:r>
      <w:r>
        <w:rPr>
          <w:rFonts w:cs="Calibri" w:ascii="Times New Roman" w:hAnsi="Times New Roman"/>
          <w:b/>
          <w:sz w:val="24"/>
          <w:szCs w:val="24"/>
        </w:rPr>
        <w:t>Wykonawca</w:t>
      </w:r>
      <w:r>
        <w:rPr>
          <w:rFonts w:cs="Calibri" w:ascii="Times New Roman" w:hAnsi="Times New Roman"/>
          <w:sz w:val="24"/>
          <w:szCs w:val="24"/>
        </w:rPr>
        <w:t xml:space="preserve"> będzie zobowiązany do naprawienia powstałej stąd szkody wyliczonej jako różnica w kosztach zakupu energii elektrycznej od innego Wykonawcy w stosunku do kosztów, jakie powinny były zostać poniesione na podstawie niniejszej Umowy. Dotyczy to całego okresu realizacji sprzedaży energii elektrycznej przez innego Wykonawcę, z tym, że nie dłużej niż do dnia, w którym miała zakończyć obowiązywanie niniejsza umowa, zgodnie z § 9 ust. 1. </w:t>
      </w:r>
    </w:p>
    <w:p>
      <w:pPr>
        <w:pStyle w:val="ListParagraph"/>
        <w:numPr>
          <w:ilvl w:val="0"/>
          <w:numId w:val="9"/>
        </w:numPr>
        <w:spacing w:lineRule="auto" w:line="360"/>
        <w:jc w:val="left"/>
        <w:rPr>
          <w:rFonts w:ascii="Times New Roman" w:hAnsi="Times New Roman"/>
          <w:sz w:val="24"/>
          <w:szCs w:val="24"/>
        </w:rPr>
      </w:pPr>
      <w:r>
        <w:rPr>
          <w:rFonts w:cs="Calibri" w:ascii="Times New Roman" w:hAnsi="Times New Roman"/>
          <w:sz w:val="24"/>
          <w:szCs w:val="24"/>
        </w:rPr>
        <w:t xml:space="preserve">W sytuacji, gdy </w:t>
      </w:r>
      <w:r>
        <w:rPr>
          <w:rFonts w:cs="Calibri" w:ascii="Times New Roman" w:hAnsi="Times New Roman"/>
          <w:b/>
          <w:sz w:val="24"/>
          <w:szCs w:val="24"/>
        </w:rPr>
        <w:t>Wykonawca</w:t>
      </w:r>
      <w:r>
        <w:rPr>
          <w:rFonts w:cs="Calibri" w:ascii="Times New Roman" w:hAnsi="Times New Roman"/>
          <w:sz w:val="24"/>
          <w:szCs w:val="24"/>
        </w:rPr>
        <w:t xml:space="preserve"> zaprzestanie tymczasowo sprzedaży energii elektrycznej na rzecz </w:t>
      </w:r>
      <w:r>
        <w:rPr>
          <w:rFonts w:cs="Calibri" w:ascii="Times New Roman" w:hAnsi="Times New Roman"/>
          <w:b/>
          <w:sz w:val="24"/>
          <w:szCs w:val="24"/>
        </w:rPr>
        <w:t>Zamawiająceg</w:t>
      </w:r>
      <w:r>
        <w:rPr>
          <w:rFonts w:cs="Calibri" w:ascii="Times New Roman" w:hAnsi="Times New Roman"/>
          <w:sz w:val="24"/>
          <w:szCs w:val="24"/>
        </w:rPr>
        <w:t xml:space="preserve">o i nie wznowi sprzedaży energii elektrycznej w przeciągu 1 miesiąca, to w takim przypadku stosuje się odpowiednio ust. 4 lit. b) powyżej, z tym, że </w:t>
      </w:r>
      <w:r>
        <w:rPr>
          <w:rFonts w:cs="Calibri" w:ascii="Times New Roman" w:hAnsi="Times New Roman"/>
          <w:b/>
          <w:sz w:val="24"/>
          <w:szCs w:val="24"/>
        </w:rPr>
        <w:t>Zamawiający</w:t>
      </w:r>
      <w:r>
        <w:rPr>
          <w:rFonts w:cs="Calibri" w:ascii="Times New Roman" w:hAnsi="Times New Roman"/>
          <w:sz w:val="24"/>
          <w:szCs w:val="24"/>
        </w:rPr>
        <w:t xml:space="preserve"> zachowuje swoje roszczenie o naprawienie szkody, o którym mowa w ust. 5 i 6 powyżej.</w:t>
      </w:r>
    </w:p>
    <w:p>
      <w:pPr>
        <w:pStyle w:val="ListParagraph"/>
        <w:numPr>
          <w:ilvl w:val="0"/>
          <w:numId w:val="9"/>
        </w:numPr>
        <w:spacing w:lineRule="auto" w:line="360"/>
        <w:jc w:val="left"/>
        <w:rPr>
          <w:rFonts w:ascii="Times New Roman" w:hAnsi="Times New Roman" w:cs="Calibri"/>
          <w:sz w:val="24"/>
          <w:szCs w:val="24"/>
        </w:rPr>
      </w:pPr>
      <w:r>
        <w:rPr>
          <w:rFonts w:cs="Calibri" w:ascii="Times New Roman" w:hAnsi="Times New Roman"/>
          <w:sz w:val="24"/>
          <w:szCs w:val="24"/>
        </w:rPr>
        <w:t>Rozwiązanie oraz odstąpienie od Umowy, o których mowa w niniejszym paragrafie, powinno nastąpić w formie pisemnej pod rygorem nieważności takiego oświadczenia.</w:t>
      </w:r>
    </w:p>
    <w:p>
      <w:pPr>
        <w:pStyle w:val="Normal"/>
        <w:keepNext w:val="true"/>
        <w:spacing w:lineRule="auto" w:line="360"/>
        <w:jc w:val="center"/>
        <w:rPr>
          <w:rFonts w:ascii="Times New Roman" w:hAnsi="Times New Roman" w:cs="Calibri"/>
          <w:b/>
          <w:b/>
          <w:sz w:val="24"/>
          <w:szCs w:val="24"/>
        </w:rPr>
      </w:pPr>
      <w:r>
        <w:rPr>
          <w:rFonts w:cs="Calibri" w:ascii="Times New Roman" w:hAnsi="Times New Roman"/>
          <w:b/>
          <w:sz w:val="24"/>
          <w:szCs w:val="24"/>
        </w:rPr>
        <w:t>§ 11</w:t>
      </w:r>
    </w:p>
    <w:p>
      <w:pPr>
        <w:pStyle w:val="ListParagraph"/>
        <w:numPr>
          <w:ilvl w:val="0"/>
          <w:numId w:val="12"/>
        </w:numPr>
        <w:tabs>
          <w:tab w:val="clear" w:pos="708"/>
          <w:tab w:val="left" w:pos="567" w:leader="none"/>
        </w:tabs>
        <w:overflowPunct w:val="true"/>
        <w:spacing w:lineRule="auto" w:line="360"/>
        <w:jc w:val="left"/>
        <w:rPr>
          <w:rFonts w:ascii="Times New Roman" w:hAnsi="Times New Roman" w:cs="Calibri"/>
          <w:sz w:val="24"/>
          <w:szCs w:val="24"/>
        </w:rPr>
      </w:pPr>
      <w:r>
        <w:rPr>
          <w:rFonts w:cs="Calibri" w:ascii="Times New Roman" w:hAnsi="Times New Roman"/>
          <w:sz w:val="24"/>
          <w:szCs w:val="24"/>
        </w:rPr>
        <w:t xml:space="preserve">Wykonawca zobowiązuje się do pozyskania we własnym zakresie od właściwego OSD wszelkich danych niezbędnych do skutecznego przeprowadzenia zmiany sprzedawcy energii elektrycznej. </w:t>
      </w:r>
    </w:p>
    <w:p>
      <w:pPr>
        <w:pStyle w:val="ListParagraph"/>
        <w:numPr>
          <w:ilvl w:val="0"/>
          <w:numId w:val="12"/>
        </w:numPr>
        <w:tabs>
          <w:tab w:val="clear" w:pos="708"/>
          <w:tab w:val="left" w:pos="567" w:leader="none"/>
        </w:tabs>
        <w:overflowPunct w:val="true"/>
        <w:spacing w:lineRule="auto" w:line="360"/>
        <w:jc w:val="left"/>
        <w:rPr>
          <w:rFonts w:ascii="Times New Roman" w:hAnsi="Times New Roman"/>
          <w:sz w:val="24"/>
          <w:szCs w:val="24"/>
        </w:rPr>
      </w:pPr>
      <w:r>
        <w:rPr>
          <w:rFonts w:cs="Calibri" w:ascii="Times New Roman" w:hAnsi="Times New Roman"/>
          <w:b/>
          <w:sz w:val="24"/>
          <w:szCs w:val="24"/>
        </w:rPr>
        <w:t>Wykonawca</w:t>
      </w:r>
      <w:r>
        <w:rPr>
          <w:rFonts w:cs="Calibri" w:ascii="Times New Roman" w:hAnsi="Times New Roman"/>
          <w:sz w:val="24"/>
          <w:szCs w:val="24"/>
        </w:rPr>
        <w:t xml:space="preserve"> zobowiązuje się do zgłoszenia, względnie do złożenia pisemnego wniosku do właściwego </w:t>
      </w:r>
      <w:r>
        <w:rPr>
          <w:rFonts w:cs="Calibri" w:ascii="Times New Roman" w:hAnsi="Times New Roman"/>
          <w:b/>
          <w:sz w:val="24"/>
          <w:szCs w:val="24"/>
        </w:rPr>
        <w:t>OSD</w:t>
      </w:r>
      <w:r>
        <w:rPr>
          <w:rFonts w:cs="Calibri" w:ascii="Times New Roman" w:hAnsi="Times New Roman"/>
          <w:sz w:val="24"/>
          <w:szCs w:val="24"/>
        </w:rPr>
        <w:t xml:space="preserve"> o zmianę grup taryfowych dla poszczególnych obiektów </w:t>
      </w:r>
      <w:r>
        <w:rPr>
          <w:rFonts w:cs="Calibri" w:ascii="Times New Roman" w:hAnsi="Times New Roman"/>
          <w:b/>
          <w:sz w:val="24"/>
          <w:szCs w:val="24"/>
        </w:rPr>
        <w:t>Zamawiającego,</w:t>
      </w:r>
      <w:r>
        <w:rPr>
          <w:rFonts w:cs="Calibri" w:ascii="Times New Roman" w:hAnsi="Times New Roman"/>
          <w:sz w:val="24"/>
          <w:szCs w:val="24"/>
        </w:rPr>
        <w:t xml:space="preserve"> zgodnie z załączonym do niniejszej Umowy pełnomocnictwem,</w:t>
      </w:r>
      <w:r>
        <w:rPr>
          <w:rFonts w:cs="Calibri" w:ascii="Times New Roman" w:hAnsi="Times New Roman"/>
          <w:iCs/>
          <w:sz w:val="24"/>
          <w:szCs w:val="24"/>
        </w:rPr>
        <w:t xml:space="preserve"> dla których zostały spełnione techniczne warunki, aby taką zmianę można było zastosować.</w:t>
      </w:r>
    </w:p>
    <w:p>
      <w:pPr>
        <w:pStyle w:val="ListParagraph"/>
        <w:numPr>
          <w:ilvl w:val="0"/>
          <w:numId w:val="12"/>
        </w:numPr>
        <w:tabs>
          <w:tab w:val="clear" w:pos="708"/>
          <w:tab w:val="left" w:pos="567" w:leader="none"/>
        </w:tabs>
        <w:overflowPunct w:val="true"/>
        <w:spacing w:lineRule="auto" w:line="360"/>
        <w:jc w:val="left"/>
        <w:rPr>
          <w:rFonts w:ascii="Times New Roman" w:hAnsi="Times New Roman"/>
          <w:sz w:val="24"/>
          <w:szCs w:val="24"/>
        </w:rPr>
      </w:pPr>
      <w:r>
        <w:rPr>
          <w:rFonts w:cs="Calibri" w:ascii="Times New Roman" w:hAnsi="Times New Roman"/>
          <w:sz w:val="24"/>
          <w:szCs w:val="24"/>
        </w:rPr>
        <w:t xml:space="preserve">Wraz z zawarciem niniejszej Umowy, </w:t>
      </w:r>
      <w:r>
        <w:rPr>
          <w:rFonts w:cs="Calibri" w:ascii="Times New Roman" w:hAnsi="Times New Roman"/>
          <w:b/>
          <w:sz w:val="24"/>
          <w:szCs w:val="24"/>
        </w:rPr>
        <w:t>Zamawiający</w:t>
      </w:r>
      <w:r>
        <w:rPr>
          <w:rFonts w:cs="Calibri" w:ascii="Times New Roman" w:hAnsi="Times New Roman"/>
          <w:sz w:val="24"/>
          <w:szCs w:val="24"/>
        </w:rPr>
        <w:t xml:space="preserve"> udziela </w:t>
      </w:r>
      <w:r>
        <w:rPr>
          <w:rFonts w:cs="Calibri" w:ascii="Times New Roman" w:hAnsi="Times New Roman"/>
          <w:b/>
          <w:sz w:val="24"/>
          <w:szCs w:val="24"/>
        </w:rPr>
        <w:t>Wykonawcy</w:t>
      </w:r>
      <w:r>
        <w:rPr>
          <w:rFonts w:cs="Calibri" w:ascii="Times New Roman" w:hAnsi="Times New Roman"/>
          <w:sz w:val="24"/>
          <w:szCs w:val="24"/>
        </w:rPr>
        <w:t xml:space="preserve"> pełnomocnictwa szczegółowego, pozwalającego na podjęcie czynności wskazanych w ust. 1 - 3 powyżej, stanowiącego załącznik nr 1 do niniejszej Umowy.</w:t>
      </w:r>
    </w:p>
    <w:p>
      <w:pPr>
        <w:pStyle w:val="ListParagraph"/>
        <w:numPr>
          <w:ilvl w:val="0"/>
          <w:numId w:val="12"/>
        </w:numPr>
        <w:tabs>
          <w:tab w:val="clear" w:pos="708"/>
          <w:tab w:val="left" w:pos="567" w:leader="none"/>
        </w:tabs>
        <w:overflowPunct w:val="true"/>
        <w:spacing w:lineRule="auto" w:line="360"/>
        <w:jc w:val="left"/>
        <w:rPr>
          <w:rFonts w:ascii="Times New Roman" w:hAnsi="Times New Roman"/>
          <w:sz w:val="24"/>
          <w:szCs w:val="24"/>
        </w:rPr>
      </w:pPr>
      <w:r>
        <w:rPr>
          <w:rFonts w:cs="Calibri" w:ascii="Times New Roman" w:hAnsi="Times New Roman"/>
          <w:b/>
          <w:sz w:val="24"/>
          <w:szCs w:val="24"/>
        </w:rPr>
        <w:t>Wykonawca</w:t>
      </w:r>
      <w:r>
        <w:rPr>
          <w:rFonts w:cs="Calibri" w:ascii="Times New Roman" w:hAnsi="Times New Roman"/>
          <w:sz w:val="24"/>
          <w:szCs w:val="24"/>
        </w:rPr>
        <w:t xml:space="preserve"> nie może zbywać na rzecz osób trzecich wierzytelności powstałych w wyniku realizacji niniejszej Umowy.</w:t>
      </w:r>
    </w:p>
    <w:p>
      <w:pPr>
        <w:pStyle w:val="ListParagraph"/>
        <w:numPr>
          <w:ilvl w:val="0"/>
          <w:numId w:val="12"/>
        </w:numPr>
        <w:tabs>
          <w:tab w:val="clear" w:pos="708"/>
          <w:tab w:val="left" w:pos="567" w:leader="none"/>
        </w:tabs>
        <w:overflowPunct w:val="true"/>
        <w:spacing w:lineRule="auto" w:line="360"/>
        <w:jc w:val="left"/>
        <w:rPr>
          <w:rFonts w:ascii="Times New Roman" w:hAnsi="Times New Roman" w:cs="Calibri"/>
          <w:sz w:val="24"/>
          <w:szCs w:val="24"/>
        </w:rPr>
      </w:pPr>
      <w:r>
        <w:rPr>
          <w:rFonts w:cs="Calibri" w:ascii="Times New Roman" w:hAnsi="Times New Roman"/>
          <w:sz w:val="24"/>
          <w:szCs w:val="24"/>
        </w:rPr>
        <w:t>W zakresie nieuregulowanym niniejszą Umową stosuje się Kodeks Cywilny, Prawo energetyczne wraz z aktami wykonawczymi.</w:t>
      </w:r>
    </w:p>
    <w:p>
      <w:pPr>
        <w:pStyle w:val="ListParagraph"/>
        <w:numPr>
          <w:ilvl w:val="0"/>
          <w:numId w:val="12"/>
        </w:numPr>
        <w:tabs>
          <w:tab w:val="clear" w:pos="708"/>
          <w:tab w:val="left" w:pos="567" w:leader="none"/>
        </w:tabs>
        <w:overflowPunct w:val="true"/>
        <w:spacing w:lineRule="auto" w:line="360"/>
        <w:jc w:val="left"/>
        <w:rPr>
          <w:rFonts w:ascii="Times New Roman" w:hAnsi="Times New Roman" w:cs="Calibri"/>
          <w:sz w:val="24"/>
          <w:szCs w:val="24"/>
        </w:rPr>
      </w:pPr>
      <w:r>
        <w:rPr>
          <w:rFonts w:cs="Calibri" w:ascii="Times New Roman" w:hAnsi="Times New Roman"/>
          <w:sz w:val="24"/>
          <w:szCs w:val="24"/>
        </w:rPr>
        <w:t>Zmiana postanowień Umowy możliwa jest w razie zaistnienia jednej z następujących okoliczności i w zakresie określonym poniżej:</w:t>
      </w:r>
    </w:p>
    <w:p>
      <w:pPr>
        <w:pStyle w:val="ListParagraph"/>
        <w:numPr>
          <w:ilvl w:val="0"/>
          <w:numId w:val="13"/>
        </w:numPr>
        <w:tabs>
          <w:tab w:val="clear" w:pos="708"/>
          <w:tab w:val="left" w:pos="284" w:leader="none"/>
        </w:tabs>
        <w:overflowPunct w:val="true"/>
        <w:spacing w:lineRule="auto" w:line="360" w:before="0" w:after="0"/>
        <w:ind w:left="284" w:right="0" w:hanging="284"/>
        <w:jc w:val="left"/>
        <w:rPr>
          <w:rFonts w:ascii="Times New Roman" w:hAnsi="Times New Roman" w:cs="Calibri"/>
          <w:sz w:val="24"/>
          <w:szCs w:val="24"/>
        </w:rPr>
      </w:pPr>
      <w:r>
        <w:rPr>
          <w:rFonts w:cs="Calibri" w:ascii="Times New Roman" w:hAnsi="Times New Roman"/>
          <w:sz w:val="24"/>
          <w:szCs w:val="24"/>
        </w:rPr>
        <w:t>wystąpi zmiana będąca następstwem siły wyższej – rozumianej jako wydarzenie lub okoliczność o charakterze nadzwyczajnym, na którą Wykonawca i Zamawiający nie mają wpływu; wystąpieniu której Wykonawca ani Zamawiający, działając racjonalnie, nie mogli zapobiec przed zawarciem Umowy; której w przypadku jej wystąpienia, Wykonawca ani Zamawiający, nie mogli uniknąć lub jej przezwyciężyć; oraz która nie może być zasadniczo przypisana Wykonawcy ani Zamawiającemu – w takim przypadku dopuszcza się odpowiednią zmianę zakresu, sposobu lub terminu realizacji Umowy, stosownie do okoliczności wywołanych siłą wyższą;</w:t>
      </w:r>
    </w:p>
    <w:p>
      <w:pPr>
        <w:pStyle w:val="ListParagraph"/>
        <w:numPr>
          <w:ilvl w:val="0"/>
          <w:numId w:val="13"/>
        </w:numPr>
        <w:tabs>
          <w:tab w:val="clear" w:pos="708"/>
          <w:tab w:val="left" w:pos="284" w:leader="none"/>
        </w:tabs>
        <w:overflowPunct w:val="true"/>
        <w:spacing w:lineRule="auto" w:line="360" w:before="0" w:after="0"/>
        <w:ind w:left="284" w:right="0" w:hanging="284"/>
        <w:jc w:val="left"/>
        <w:rPr>
          <w:rFonts w:ascii="Times New Roman" w:hAnsi="Times New Roman" w:cs="Calibri"/>
          <w:sz w:val="24"/>
          <w:szCs w:val="24"/>
        </w:rPr>
      </w:pPr>
      <w:r>
        <w:rPr>
          <w:rFonts w:cs="Calibri" w:ascii="Times New Roman" w:hAnsi="Times New Roman"/>
          <w:sz w:val="24"/>
          <w:szCs w:val="24"/>
        </w:rPr>
        <w:t>przypadku zaprzestania dostarczania energii elektrycznej przez Wykonawcę wybranego przez Zamawiającego, powodujące konieczność zmiany sprzedawcy energii elektrycznej na sprzedawcę rezerwowego;</w:t>
      </w:r>
    </w:p>
    <w:p>
      <w:pPr>
        <w:pStyle w:val="ListParagraph"/>
        <w:numPr>
          <w:ilvl w:val="0"/>
          <w:numId w:val="13"/>
        </w:numPr>
        <w:tabs>
          <w:tab w:val="clear" w:pos="708"/>
          <w:tab w:val="left" w:pos="284" w:leader="none"/>
        </w:tabs>
        <w:overflowPunct w:val="true"/>
        <w:spacing w:lineRule="auto" w:line="360" w:before="0" w:after="0"/>
        <w:ind w:left="284" w:right="0" w:hanging="284"/>
        <w:jc w:val="left"/>
        <w:rPr>
          <w:rFonts w:ascii="Times New Roman" w:hAnsi="Times New Roman" w:cs="Calibri"/>
          <w:sz w:val="24"/>
          <w:szCs w:val="24"/>
        </w:rPr>
      </w:pPr>
      <w:bookmarkStart w:id="5" w:name="_Hlk125615525"/>
      <w:r>
        <w:rPr>
          <w:rFonts w:cs="Calibri" w:ascii="Times New Roman" w:hAnsi="Times New Roman"/>
          <w:sz w:val="24"/>
          <w:szCs w:val="24"/>
        </w:rPr>
        <w:t>zmiany jednostkowej ceny netto za 1 MWh o kwotę wynikającą ze zmiany stawki opodatkowania podatkiem akcyzowym w stosunku do stawki obowiązującej w czasie składania oferty; warunkiem wprowadzenia zmiany jest ustawowa zmiana opodatkowania energii podatkiem akcyzowym; w takim przypadku Wykonawca poinformuje Zamawiającego o tym fakcie, przed upływem końca okresu rozliczeniowego, w którym zmiana wchodzi  w życie, pisemną korespondencją zawierającą uzasadnienie i szczegółowy sposób wyliczenia nowych cen jednostkowych, zmiana umowy w tym zakresie nie wymaga sporządzenia aneksu do umowy;</w:t>
      </w:r>
    </w:p>
    <w:p>
      <w:pPr>
        <w:pStyle w:val="ListParagraph"/>
        <w:numPr>
          <w:ilvl w:val="0"/>
          <w:numId w:val="13"/>
        </w:numPr>
        <w:tabs>
          <w:tab w:val="clear" w:pos="708"/>
          <w:tab w:val="left" w:pos="284" w:leader="none"/>
        </w:tabs>
        <w:overflowPunct w:val="true"/>
        <w:spacing w:lineRule="auto" w:line="360" w:before="0" w:after="0"/>
        <w:ind w:left="284" w:right="0" w:hanging="284"/>
        <w:jc w:val="left"/>
        <w:rPr>
          <w:rFonts w:ascii="Times New Roman" w:hAnsi="Times New Roman" w:cs="Calibri"/>
          <w:sz w:val="24"/>
          <w:szCs w:val="24"/>
        </w:rPr>
      </w:pPr>
      <w:bookmarkStart w:id="6" w:name="_Hlk125615525"/>
      <w:r>
        <w:rPr>
          <w:rFonts w:cs="Calibri" w:ascii="Times New Roman" w:hAnsi="Times New Roman"/>
          <w:sz w:val="24"/>
          <w:szCs w:val="24"/>
        </w:rPr>
        <w:t xml:space="preserve">zmiany stawki podatku od towarów i usług VAT dla energii elektrycznej w stosunku do stawki zawartej w ofercie; warunkiem wprowadzenia zmian jest ustawowa zmiana stawki podatku od towarów i usług; w takim przypadku Wykonawca poinformuje Zamawiającego o tym fakcie, przed upływem końca okresu rozliczeniowego, w którym zmiana wchodzi </w:t>
        <w:br/>
        <w:t xml:space="preserve">w życie, pisemną korespondencją zawierającą uzasadnienie, wysokość nowych stawek </w:t>
        <w:br/>
        <w:t>i sposób naliczania nowych wartości VAT, zmiana umowy w tym zakresie nie wymaga sporządzenia aneksu do umowy;</w:t>
      </w:r>
      <w:bookmarkEnd w:id="6"/>
    </w:p>
    <w:p>
      <w:pPr>
        <w:pStyle w:val="ListParagraph"/>
        <w:numPr>
          <w:ilvl w:val="0"/>
          <w:numId w:val="13"/>
        </w:numPr>
        <w:tabs>
          <w:tab w:val="clear" w:pos="708"/>
          <w:tab w:val="left" w:pos="284" w:leader="none"/>
        </w:tabs>
        <w:overflowPunct w:val="true"/>
        <w:spacing w:lineRule="auto" w:line="360" w:before="0" w:after="0"/>
        <w:ind w:left="284" w:right="0" w:hanging="284"/>
        <w:jc w:val="left"/>
        <w:rPr>
          <w:rFonts w:ascii="Times New Roman" w:hAnsi="Times New Roman"/>
          <w:sz w:val="24"/>
          <w:szCs w:val="24"/>
        </w:rPr>
      </w:pPr>
      <w:r>
        <w:rPr>
          <w:rFonts w:eastAsia="SimSun, 宋体" w:cs="Calibri" w:ascii="Times New Roman" w:hAnsi="Times New Roman"/>
          <w:sz w:val="24"/>
          <w:szCs w:val="24"/>
        </w:rPr>
        <w:t>zmiany w przypadku interwencji Państwa lub UE na podstawie wprowadzonych przepisów prawa, mających wpływ na obniżenie kosztów realizacji przedmiotowej umowy,                                       w szczególności zmiana ceny energii elektrycznej.</w:t>
      </w:r>
      <w:r>
        <w:rPr>
          <w:rFonts w:cs="Calibri" w:ascii="Times New Roman" w:hAnsi="Times New Roman"/>
          <w:sz w:val="24"/>
          <w:szCs w:val="24"/>
        </w:rPr>
        <w:t xml:space="preserve"> </w:t>
      </w:r>
      <w:r>
        <w:rPr>
          <w:rFonts w:eastAsia="SimSun, 宋体" w:cs="Calibri" w:ascii="Times New Roman" w:hAnsi="Times New Roman"/>
          <w:sz w:val="24"/>
          <w:szCs w:val="24"/>
        </w:rPr>
        <w:t xml:space="preserve">Zmiana następi automatycznie </w:t>
        <w:br/>
        <w:t xml:space="preserve">z dniem wejścia w życie zmienionych przepisów, nie wymaga oświadczenia woli Zamawiającego ani zawarcia aneksu do umowy, z zastrzeżeniem wymogów ustawowych </w:t>
        <w:br/>
        <w:t>w zakresie składania dokumentów. Zmiana będzie miała wpływ na wartość umowy,</w:t>
      </w:r>
    </w:p>
    <w:p>
      <w:pPr>
        <w:pStyle w:val="ListParagraph"/>
        <w:numPr>
          <w:ilvl w:val="0"/>
          <w:numId w:val="12"/>
        </w:numPr>
        <w:overflowPunct w:val="true"/>
        <w:spacing w:lineRule="auto" w:line="360" w:before="0" w:after="0"/>
        <w:jc w:val="left"/>
        <w:rPr>
          <w:rFonts w:ascii="Times New Roman" w:hAnsi="Times New Roman" w:cs="Calibri"/>
          <w:sz w:val="24"/>
          <w:szCs w:val="24"/>
        </w:rPr>
      </w:pPr>
      <w:r>
        <w:rPr>
          <w:rFonts w:cs="Calibri" w:ascii="Times New Roman" w:hAnsi="Times New Roman"/>
          <w:sz w:val="24"/>
          <w:szCs w:val="24"/>
        </w:rPr>
        <w:t>Zmiany Umowy wymagają zgody obu stron wyrażonej w formie pisemnej tj. w formie aneksu do niniejszej Umowy, pod rygorem nieważności. Warunki wprowadzenia zmiany do Umowy:</w:t>
      </w:r>
    </w:p>
    <w:p>
      <w:pPr>
        <w:pStyle w:val="ListParagraph"/>
        <w:numPr>
          <w:ilvl w:val="0"/>
          <w:numId w:val="21"/>
        </w:numPr>
        <w:overflowPunct w:val="true"/>
        <w:spacing w:lineRule="auto" w:line="360" w:before="0" w:after="0"/>
        <w:ind w:left="284" w:right="0" w:hanging="284"/>
        <w:jc w:val="left"/>
        <w:rPr>
          <w:rFonts w:ascii="Times New Roman" w:hAnsi="Times New Roman" w:cs="Calibri"/>
          <w:sz w:val="24"/>
          <w:szCs w:val="24"/>
        </w:rPr>
      </w:pPr>
      <w:r>
        <w:rPr>
          <w:rFonts w:cs="Calibri" w:ascii="Times New Roman" w:hAnsi="Times New Roman"/>
          <w:sz w:val="24"/>
          <w:szCs w:val="24"/>
        </w:rPr>
        <w:t>strona występująca o zmianę postanowień Umowy zobowiązana jest do udokumentowania zaistnienia okoliczności, o których mowa powyżej;</w:t>
      </w:r>
    </w:p>
    <w:p>
      <w:pPr>
        <w:pStyle w:val="ListParagraph"/>
        <w:numPr>
          <w:ilvl w:val="0"/>
          <w:numId w:val="21"/>
        </w:numPr>
        <w:overflowPunct w:val="true"/>
        <w:spacing w:lineRule="auto" w:line="360" w:before="0" w:after="0"/>
        <w:ind w:left="284" w:right="0" w:hanging="284"/>
        <w:jc w:val="left"/>
        <w:rPr>
          <w:rFonts w:ascii="Times New Roman" w:hAnsi="Times New Roman" w:cs="Calibri"/>
          <w:sz w:val="24"/>
          <w:szCs w:val="24"/>
        </w:rPr>
      </w:pPr>
      <w:r>
        <w:rPr>
          <w:rFonts w:cs="Calibri" w:ascii="Times New Roman" w:hAnsi="Times New Roman"/>
          <w:sz w:val="24"/>
          <w:szCs w:val="24"/>
        </w:rPr>
        <w:t>wniosek o zmianę postanowień Umowy musi być wyrażony na piśmie;</w:t>
      </w:r>
    </w:p>
    <w:p>
      <w:pPr>
        <w:pStyle w:val="ListParagraph"/>
        <w:numPr>
          <w:ilvl w:val="0"/>
          <w:numId w:val="21"/>
        </w:numPr>
        <w:overflowPunct w:val="true"/>
        <w:spacing w:lineRule="auto" w:line="360" w:before="0" w:after="0"/>
        <w:ind w:left="284" w:right="0" w:hanging="284"/>
        <w:jc w:val="left"/>
        <w:rPr>
          <w:rFonts w:ascii="Times New Roman" w:hAnsi="Times New Roman" w:cs="Calibri"/>
          <w:sz w:val="24"/>
          <w:szCs w:val="24"/>
        </w:rPr>
      </w:pPr>
      <w:r>
        <w:rPr>
          <w:rFonts w:cs="Calibri" w:ascii="Times New Roman" w:hAnsi="Times New Roman"/>
          <w:sz w:val="24"/>
          <w:szCs w:val="24"/>
        </w:rPr>
        <w:t xml:space="preserve">złożony przez stronę wniosek o zmianę musi zawierać: opis propozycji zmiany (treści zapisów umownych), uzasadnienie zmiany wraz z udokumentowaniem okoliczności stanowiących podstawę zmiany Umowy, opis wpływu zmiany na warunki realizacji Umowy. Po otrzymaniu propozycji, druga Strona w terminie 7 dni roboczych zatwierdzi bądź odrzuci otrzymaną propozycję zmiany lub w tym terminie wystąpi do Strony występującej z propozycją zmian, przesyłając zmodyfikowaną propozycje zmian.  </w:t>
      </w:r>
    </w:p>
    <w:p>
      <w:pPr>
        <w:pStyle w:val="Normal"/>
        <w:tabs>
          <w:tab w:val="clear" w:pos="708"/>
          <w:tab w:val="left" w:pos="709" w:leader="none"/>
        </w:tabs>
        <w:overflowPunct w:val="true"/>
        <w:spacing w:lineRule="auto" w:line="360"/>
        <w:ind w:left="284" w:right="0" w:hanging="0"/>
        <w:jc w:val="left"/>
        <w:rPr>
          <w:rFonts w:ascii="Times New Roman" w:hAnsi="Times New Roman" w:cs="Calibri"/>
          <w:sz w:val="24"/>
          <w:szCs w:val="24"/>
        </w:rPr>
      </w:pPr>
      <w:r>
        <w:rPr>
          <w:rFonts w:cs="Calibri" w:ascii="Times New Roman" w:hAnsi="Times New Roman"/>
          <w:sz w:val="24"/>
          <w:szCs w:val="24"/>
        </w:rPr>
        <w:t>W przypadku bezskutecznego upływu terminu podanego wyżej, traktuje się, iż propozycja wprowadzenia zmian została odrzucona. Strona dokonująca odrzucenia, zobowiązana jest do udzielenia informacji drugiej stronie w ciągu 14 dni o powodach odrzucenia.</w:t>
      </w:r>
    </w:p>
    <w:p>
      <w:pPr>
        <w:pStyle w:val="Normal"/>
        <w:tabs>
          <w:tab w:val="clear" w:pos="708"/>
          <w:tab w:val="left" w:pos="709" w:leader="none"/>
        </w:tabs>
        <w:overflowPunct w:val="true"/>
        <w:spacing w:lineRule="auto" w:line="360"/>
        <w:ind w:left="284" w:right="0" w:hanging="0"/>
        <w:jc w:val="left"/>
        <w:rPr>
          <w:rFonts w:ascii="Times New Roman" w:hAnsi="Times New Roman" w:cs="Calibri"/>
          <w:sz w:val="24"/>
          <w:szCs w:val="24"/>
        </w:rPr>
      </w:pPr>
      <w:r>
        <w:rPr>
          <w:rFonts w:cs="Calibri" w:ascii="Times New Roman" w:hAnsi="Times New Roman"/>
          <w:sz w:val="24"/>
          <w:szCs w:val="24"/>
        </w:rPr>
        <w:t>W przypadku przyjęcia propozycji zmian stają się one obowiązujące i wchodzą w życie pod warunkiem objęcia ich pisemnym aneksem.</w:t>
      </w:r>
    </w:p>
    <w:p>
      <w:pPr>
        <w:pStyle w:val="Normal"/>
        <w:tabs>
          <w:tab w:val="clear" w:pos="708"/>
          <w:tab w:val="left" w:pos="567" w:leader="none"/>
        </w:tabs>
        <w:overflowPunct w:val="true"/>
        <w:spacing w:lineRule="auto" w:line="360"/>
        <w:jc w:val="left"/>
        <w:rPr>
          <w:rFonts w:ascii="Times New Roman" w:hAnsi="Times New Roman" w:cs="Calibri"/>
          <w:b/>
          <w:b/>
          <w:sz w:val="24"/>
          <w:szCs w:val="24"/>
        </w:rPr>
      </w:pPr>
      <w:r>
        <w:rPr>
          <w:rFonts w:cs="Calibri" w:ascii="Times New Roman" w:hAnsi="Times New Roman"/>
          <w:b/>
          <w:sz w:val="24"/>
          <w:szCs w:val="24"/>
        </w:rPr>
      </w:r>
    </w:p>
    <w:p>
      <w:pPr>
        <w:pStyle w:val="Normal"/>
        <w:tabs>
          <w:tab w:val="clear" w:pos="708"/>
          <w:tab w:val="left" w:pos="567" w:leader="none"/>
        </w:tabs>
        <w:overflowPunct w:val="true"/>
        <w:spacing w:lineRule="auto" w:line="360"/>
        <w:jc w:val="center"/>
        <w:rPr>
          <w:rFonts w:ascii="Times New Roman" w:hAnsi="Times New Roman" w:cs="Calibri"/>
          <w:b/>
          <w:b/>
          <w:sz w:val="24"/>
          <w:szCs w:val="24"/>
        </w:rPr>
      </w:pPr>
      <w:r>
        <w:rPr>
          <w:rFonts w:cs="Calibri" w:ascii="Times New Roman" w:hAnsi="Times New Roman"/>
          <w:b/>
          <w:sz w:val="24"/>
          <w:szCs w:val="24"/>
        </w:rPr>
        <w:t>§ 12</w:t>
      </w:r>
    </w:p>
    <w:p>
      <w:pPr>
        <w:pStyle w:val="NormalWeb"/>
        <w:widowControl/>
        <w:tabs>
          <w:tab w:val="clear" w:pos="708"/>
          <w:tab w:val="left" w:pos="567" w:leader="none"/>
        </w:tabs>
        <w:bidi w:val="0"/>
        <w:spacing w:lineRule="auto" w:line="360" w:before="0" w:after="0"/>
        <w:ind w:left="130" w:right="0" w:hanging="143"/>
        <w:jc w:val="left"/>
        <w:rPr>
          <w:rFonts w:ascii="Times New Roman" w:hAnsi="Times New Roman" w:cs="Calibri"/>
          <w:sz w:val="24"/>
          <w:szCs w:val="24"/>
        </w:rPr>
      </w:pPr>
      <w:r>
        <w:rPr>
          <w:rFonts w:cs="Calibri" w:ascii="Times New Roman" w:hAnsi="Times New Roman"/>
          <w:sz w:val="24"/>
          <w:szCs w:val="24"/>
        </w:rPr>
        <w:t>1. Strony zobowiązane są do informowania się o:</w:t>
      </w:r>
    </w:p>
    <w:p>
      <w:pPr>
        <w:pStyle w:val="NormalWeb"/>
        <w:widowControl/>
        <w:tabs>
          <w:tab w:val="clear" w:pos="708"/>
          <w:tab w:val="left" w:pos="1134" w:leader="none"/>
        </w:tabs>
        <w:bidi w:val="0"/>
        <w:spacing w:lineRule="auto" w:line="360" w:before="0" w:after="0"/>
        <w:ind w:left="261" w:right="0" w:hanging="0"/>
        <w:jc w:val="left"/>
        <w:rPr>
          <w:rFonts w:ascii="Times New Roman" w:hAnsi="Times New Roman" w:cs="Calibri"/>
          <w:sz w:val="24"/>
          <w:szCs w:val="24"/>
        </w:rPr>
      </w:pPr>
      <w:r>
        <w:rPr>
          <w:rFonts w:cs="Calibri" w:ascii="Times New Roman" w:hAnsi="Times New Roman"/>
          <w:sz w:val="24"/>
          <w:szCs w:val="24"/>
        </w:rPr>
        <w:t>a) zmianach adresów oraz zmianach numerów telefonów i adresów e-mail.  W razie zaniedbania powyższego obowiązku, korespondencja przekazana na dotychczasowy adres lub adres e-mail, uważana jest za doręczoną;</w:t>
      </w:r>
    </w:p>
    <w:p>
      <w:pPr>
        <w:pStyle w:val="NormalWeb"/>
        <w:widowControl/>
        <w:numPr>
          <w:ilvl w:val="0"/>
          <w:numId w:val="0"/>
        </w:numPr>
        <w:tabs>
          <w:tab w:val="clear" w:pos="708"/>
          <w:tab w:val="left" w:pos="1134" w:leader="none"/>
        </w:tabs>
        <w:bidi w:val="0"/>
        <w:spacing w:lineRule="auto" w:line="360" w:before="0" w:after="0"/>
        <w:ind w:left="248" w:right="0" w:hanging="0"/>
        <w:jc w:val="left"/>
        <w:rPr>
          <w:rFonts w:ascii="Times New Roman" w:hAnsi="Times New Roman" w:cs="Calibri"/>
          <w:sz w:val="24"/>
          <w:szCs w:val="24"/>
        </w:rPr>
      </w:pPr>
      <w:r>
        <w:rPr>
          <w:rFonts w:cs="Calibri" w:ascii="Times New Roman" w:hAnsi="Times New Roman"/>
          <w:sz w:val="24"/>
          <w:szCs w:val="24"/>
        </w:rPr>
        <w:t>b) zmianach w strukturze organizacyjnej, dotyczących określonych w Umowie nazw, adresów;</w:t>
      </w:r>
    </w:p>
    <w:p>
      <w:pPr>
        <w:pStyle w:val="NormalWeb"/>
        <w:widowControl/>
        <w:numPr>
          <w:ilvl w:val="0"/>
          <w:numId w:val="0"/>
        </w:numPr>
        <w:tabs>
          <w:tab w:val="clear" w:pos="708"/>
          <w:tab w:val="left" w:pos="1134" w:leader="none"/>
        </w:tabs>
        <w:bidi w:val="0"/>
        <w:spacing w:lineRule="auto" w:line="360" w:before="0" w:after="0"/>
        <w:ind w:left="248" w:right="0" w:hanging="0"/>
        <w:jc w:val="left"/>
        <w:rPr>
          <w:rFonts w:ascii="Times New Roman" w:hAnsi="Times New Roman" w:cs="Calibri"/>
          <w:sz w:val="24"/>
          <w:szCs w:val="24"/>
        </w:rPr>
      </w:pPr>
      <w:r>
        <w:rPr>
          <w:rFonts w:cs="Calibri" w:ascii="Times New Roman" w:hAnsi="Times New Roman"/>
          <w:sz w:val="24"/>
          <w:szCs w:val="24"/>
        </w:rPr>
        <w:t xml:space="preserve">c) zmianach osób reprezentujących strony. </w:t>
      </w:r>
    </w:p>
    <w:p>
      <w:pPr>
        <w:pStyle w:val="Default"/>
        <w:widowControl/>
        <w:tabs>
          <w:tab w:val="clear" w:pos="708"/>
          <w:tab w:val="left" w:pos="142" w:leader="none"/>
        </w:tabs>
        <w:bidi w:val="0"/>
        <w:spacing w:lineRule="auto" w:line="360" w:before="0" w:after="0"/>
        <w:ind w:left="0" w:right="0" w:hanging="0"/>
        <w:jc w:val="left"/>
        <w:rPr>
          <w:rFonts w:ascii="Times New Roman" w:hAnsi="Times New Roman" w:cs="Calibri"/>
          <w:color w:val="00000A"/>
          <w:sz w:val="24"/>
          <w:szCs w:val="24"/>
        </w:rPr>
      </w:pPr>
      <w:r>
        <w:rPr>
          <w:rFonts w:cs="Calibri" w:ascii="Times New Roman" w:hAnsi="Times New Roman"/>
          <w:color w:val="00000A"/>
          <w:sz w:val="24"/>
          <w:szCs w:val="24"/>
        </w:rPr>
        <w:t xml:space="preserve">Zaistnienie okoliczności, o których mowa w ust. 1 nie wymaga zawarcia aneksu do Umowy,                       a jedynie niezwłocznego pisemnego zawiadomienia drugiej strony. </w:t>
      </w:r>
    </w:p>
    <w:p>
      <w:pPr>
        <w:pStyle w:val="BodyText2"/>
        <w:widowControl/>
        <w:tabs>
          <w:tab w:val="clear" w:pos="708"/>
          <w:tab w:val="left" w:pos="567" w:leader="none"/>
        </w:tabs>
        <w:suppressAutoHyphens w:val="true"/>
        <w:bidi w:val="0"/>
        <w:spacing w:lineRule="auto" w:line="360" w:before="0" w:after="0"/>
        <w:ind w:left="0" w:right="0" w:firstLine="13"/>
        <w:jc w:val="left"/>
        <w:rPr>
          <w:rFonts w:ascii="Times New Roman" w:hAnsi="Times New Roman"/>
          <w:sz w:val="24"/>
          <w:szCs w:val="24"/>
        </w:rPr>
      </w:pPr>
      <w:r>
        <w:rPr>
          <w:rFonts w:cs="Calibri" w:ascii="Times New Roman" w:hAnsi="Times New Roman"/>
          <w:b w:val="false"/>
          <w:bCs w:val="false"/>
          <w:sz w:val="24"/>
          <w:szCs w:val="24"/>
        </w:rPr>
        <w:t xml:space="preserve">2. </w:t>
      </w:r>
      <w:r>
        <w:rPr>
          <w:rFonts w:cs="Calibri" w:ascii="Times New Roman" w:hAnsi="Times New Roman"/>
          <w:b/>
          <w:bCs/>
          <w:sz w:val="24"/>
          <w:szCs w:val="24"/>
        </w:rPr>
        <w:t>Wykonawca</w:t>
      </w:r>
      <w:r>
        <w:rPr>
          <w:rFonts w:cs="Calibri" w:ascii="Times New Roman" w:hAnsi="Times New Roman"/>
          <w:sz w:val="24"/>
          <w:szCs w:val="24"/>
        </w:rPr>
        <w:t xml:space="preserve"> wyznacza do współpracy z </w:t>
      </w:r>
      <w:r>
        <w:rPr>
          <w:rFonts w:cs="Calibri" w:ascii="Times New Roman" w:hAnsi="Times New Roman"/>
          <w:b/>
          <w:bCs/>
          <w:sz w:val="24"/>
          <w:szCs w:val="24"/>
        </w:rPr>
        <w:t>Zamawiającym pana/panią</w:t>
      </w:r>
      <w:r>
        <w:rPr>
          <w:rFonts w:cs="Calibri" w:ascii="Times New Roman" w:hAnsi="Times New Roman"/>
          <w:b w:val="false"/>
          <w:bCs w:val="false"/>
          <w:sz w:val="24"/>
          <w:szCs w:val="24"/>
        </w:rPr>
        <w:t xml:space="preserve"> ………………….....</w:t>
      </w:r>
      <w:r>
        <w:rPr>
          <w:rFonts w:cs="Calibri" w:ascii="Times New Roman" w:hAnsi="Times New Roman"/>
          <w:b/>
          <w:sz w:val="24"/>
          <w:szCs w:val="24"/>
        </w:rPr>
        <w:t xml:space="preserve">                </w:t>
      </w:r>
      <w:r>
        <w:rPr>
          <w:rFonts w:cs="Calibri" w:ascii="Times New Roman" w:hAnsi="Times New Roman"/>
          <w:bCs/>
          <w:sz w:val="24"/>
          <w:szCs w:val="24"/>
        </w:rPr>
        <w:t xml:space="preserve"> </w:t>
      </w:r>
      <w:r>
        <w:rPr>
          <w:rFonts w:cs="Calibri" w:ascii="Times New Roman" w:hAnsi="Times New Roman"/>
          <w:sz w:val="24"/>
          <w:szCs w:val="24"/>
        </w:rPr>
        <w:t>e-mail:</w:t>
      </w:r>
      <w:r>
        <w:rPr>
          <w:rFonts w:cs="Calibri" w:ascii="Times New Roman" w:hAnsi="Times New Roman"/>
          <w:b/>
          <w:bCs/>
          <w:sz w:val="24"/>
          <w:szCs w:val="24"/>
        </w:rPr>
        <w:t xml:space="preserve"> </w:t>
      </w:r>
      <w:r>
        <w:rPr>
          <w:rFonts w:cs="Calibri" w:ascii="Times New Roman" w:hAnsi="Times New Roman"/>
          <w:b w:val="false"/>
          <w:bCs w:val="false"/>
          <w:sz w:val="24"/>
          <w:szCs w:val="24"/>
        </w:rPr>
        <w:t>……………………………............</w:t>
      </w:r>
      <w:r>
        <w:rPr>
          <w:rFonts w:cs="Calibri" w:ascii="Times New Roman" w:hAnsi="Times New Roman"/>
          <w:sz w:val="24"/>
          <w:szCs w:val="24"/>
        </w:rPr>
        <w:br/>
        <w:t xml:space="preserve">tel: </w:t>
      </w:r>
      <w:r>
        <w:rPr>
          <w:rFonts w:cs="Calibri" w:ascii="Times New Roman" w:hAnsi="Times New Roman"/>
          <w:b w:val="false"/>
          <w:bCs w:val="false"/>
          <w:sz w:val="24"/>
          <w:szCs w:val="24"/>
        </w:rPr>
        <w:t>………………………………………..</w:t>
      </w:r>
    </w:p>
    <w:p>
      <w:pPr>
        <w:pStyle w:val="BodyText2"/>
        <w:widowControl/>
        <w:tabs>
          <w:tab w:val="clear" w:pos="708"/>
          <w:tab w:val="left" w:pos="567" w:leader="none"/>
        </w:tabs>
        <w:suppressAutoHyphens w:val="true"/>
        <w:bidi w:val="0"/>
        <w:spacing w:lineRule="auto" w:line="360" w:before="0" w:after="0"/>
        <w:ind w:left="0" w:right="0" w:hanging="13"/>
        <w:jc w:val="left"/>
        <w:rPr>
          <w:rFonts w:ascii="Times New Roman" w:hAnsi="Times New Roman"/>
          <w:sz w:val="24"/>
          <w:szCs w:val="24"/>
        </w:rPr>
      </w:pPr>
      <w:r>
        <w:rPr>
          <w:rFonts w:cs="Calibri" w:ascii="Times New Roman" w:hAnsi="Times New Roman"/>
          <w:b w:val="false"/>
          <w:bCs w:val="false"/>
          <w:sz w:val="24"/>
          <w:szCs w:val="24"/>
        </w:rPr>
        <w:t xml:space="preserve">3. </w:t>
      </w:r>
      <w:r>
        <w:rPr>
          <w:rFonts w:cs="Calibri" w:ascii="Times New Roman" w:hAnsi="Times New Roman"/>
          <w:b/>
          <w:bCs/>
          <w:sz w:val="24"/>
          <w:szCs w:val="24"/>
        </w:rPr>
        <w:t>Zamawiający</w:t>
      </w:r>
      <w:r>
        <w:rPr>
          <w:rFonts w:cs="Calibri" w:ascii="Times New Roman" w:hAnsi="Times New Roman"/>
          <w:sz w:val="24"/>
          <w:szCs w:val="24"/>
        </w:rPr>
        <w:t xml:space="preserve"> wyznacza do współpracy z </w:t>
      </w:r>
      <w:r>
        <w:rPr>
          <w:rFonts w:cs="Calibri" w:ascii="Times New Roman" w:hAnsi="Times New Roman"/>
          <w:b/>
          <w:bCs/>
          <w:sz w:val="24"/>
          <w:szCs w:val="24"/>
        </w:rPr>
        <w:t xml:space="preserve">Wykonawcą  pana/panią </w:t>
      </w:r>
      <w:r>
        <w:rPr>
          <w:rFonts w:cs="Calibri" w:ascii="Times New Roman" w:hAnsi="Times New Roman"/>
          <w:b w:val="false"/>
          <w:bCs w:val="false"/>
          <w:sz w:val="24"/>
          <w:szCs w:val="24"/>
        </w:rPr>
        <w:t>………………………………....................</w:t>
      </w:r>
    </w:p>
    <w:p>
      <w:pPr>
        <w:pStyle w:val="BodyText2"/>
        <w:tabs>
          <w:tab w:val="clear" w:pos="708"/>
          <w:tab w:val="left" w:pos="567" w:leader="none"/>
        </w:tabs>
        <w:spacing w:lineRule="auto" w:line="360"/>
        <w:jc w:val="left"/>
        <w:rPr>
          <w:rFonts w:ascii="Times New Roman" w:hAnsi="Times New Roman"/>
          <w:sz w:val="24"/>
          <w:szCs w:val="24"/>
        </w:rPr>
      </w:pPr>
      <w:r>
        <w:rPr>
          <w:rFonts w:cs="Calibri" w:ascii="Times New Roman" w:hAnsi="Times New Roman"/>
          <w:sz w:val="24"/>
          <w:szCs w:val="24"/>
        </w:rPr>
        <w:t xml:space="preserve">e-mail: </w:t>
      </w:r>
      <w:r>
        <w:rPr>
          <w:rFonts w:cs="Calibri" w:ascii="Times New Roman" w:hAnsi="Times New Roman"/>
          <w:b w:val="false"/>
          <w:bCs w:val="false"/>
          <w:sz w:val="24"/>
          <w:szCs w:val="24"/>
        </w:rPr>
        <w:t xml:space="preserve">…………………………………… </w:t>
      </w:r>
      <w:r>
        <w:rPr>
          <w:rFonts w:cs="Calibri" w:ascii="Times New Roman" w:hAnsi="Times New Roman"/>
          <w:sz w:val="24"/>
          <w:szCs w:val="24"/>
        </w:rPr>
        <w:br/>
        <w:t xml:space="preserve">tel: </w:t>
      </w:r>
      <w:r>
        <w:rPr>
          <w:rFonts w:cs="Calibri" w:ascii="Times New Roman" w:hAnsi="Times New Roman"/>
          <w:b w:val="false"/>
          <w:bCs w:val="false"/>
          <w:sz w:val="24"/>
          <w:szCs w:val="24"/>
        </w:rPr>
        <w:t>……………………………………......</w:t>
      </w:r>
    </w:p>
    <w:p>
      <w:pPr>
        <w:pStyle w:val="BodyText2"/>
        <w:widowControl/>
        <w:tabs>
          <w:tab w:val="clear" w:pos="708"/>
          <w:tab w:val="left" w:pos="567" w:leader="none"/>
        </w:tabs>
        <w:suppressAutoHyphens w:val="true"/>
        <w:bidi w:val="0"/>
        <w:spacing w:lineRule="auto" w:line="360" w:before="0" w:after="120"/>
        <w:ind w:left="0" w:right="0" w:hanging="0"/>
        <w:jc w:val="left"/>
        <w:rPr>
          <w:rFonts w:ascii="Times New Roman" w:hAnsi="Times New Roman"/>
          <w:sz w:val="24"/>
          <w:szCs w:val="24"/>
        </w:rPr>
      </w:pPr>
      <w:r>
        <w:rPr>
          <w:rFonts w:cs="Calibri" w:ascii="Times New Roman" w:hAnsi="Times New Roman"/>
          <w:sz w:val="24"/>
          <w:szCs w:val="24"/>
        </w:rPr>
        <w:t xml:space="preserve">4. Umowę niniejszą sporządzono w trzech jednobrzmiących egzemplarzach, w tym jeden dla </w:t>
      </w:r>
      <w:r>
        <w:rPr>
          <w:rFonts w:cs="Calibri" w:ascii="Times New Roman" w:hAnsi="Times New Roman"/>
          <w:b/>
          <w:sz w:val="24"/>
          <w:szCs w:val="24"/>
        </w:rPr>
        <w:t>Wykonawcy</w:t>
      </w:r>
      <w:r>
        <w:rPr>
          <w:rFonts w:cs="Calibri" w:ascii="Times New Roman" w:hAnsi="Times New Roman"/>
          <w:sz w:val="24"/>
          <w:szCs w:val="24"/>
        </w:rPr>
        <w:t xml:space="preserve"> i dwa dla </w:t>
      </w:r>
      <w:r>
        <w:rPr>
          <w:rFonts w:cs="Calibri" w:ascii="Times New Roman" w:hAnsi="Times New Roman"/>
          <w:b/>
          <w:sz w:val="24"/>
          <w:szCs w:val="24"/>
        </w:rPr>
        <w:t>Zamawiającego</w:t>
      </w:r>
      <w:r>
        <w:rPr>
          <w:rFonts w:cs="Calibri" w:ascii="Times New Roman" w:hAnsi="Times New Roman"/>
          <w:sz w:val="24"/>
          <w:szCs w:val="24"/>
        </w:rPr>
        <w:t>.</w:t>
      </w:r>
    </w:p>
    <w:p>
      <w:pPr>
        <w:pStyle w:val="BodyText2"/>
        <w:widowControl/>
        <w:tabs>
          <w:tab w:val="clear" w:pos="708"/>
          <w:tab w:val="left" w:pos="567" w:leader="none"/>
        </w:tabs>
        <w:suppressAutoHyphens w:val="true"/>
        <w:bidi w:val="0"/>
        <w:spacing w:lineRule="auto" w:line="360" w:before="0" w:after="120"/>
        <w:ind w:left="0" w:right="0" w:hanging="0"/>
        <w:jc w:val="left"/>
        <w:rPr>
          <w:rFonts w:ascii="Times New Roman" w:hAnsi="Times New Roman" w:cs="Calibri"/>
          <w:sz w:val="24"/>
          <w:szCs w:val="24"/>
        </w:rPr>
      </w:pPr>
      <w:r>
        <w:rPr>
          <w:rFonts w:cs="Calibri" w:ascii="Times New Roman" w:hAnsi="Times New Roman"/>
          <w:sz w:val="24"/>
          <w:szCs w:val="24"/>
        </w:rPr>
        <w:t xml:space="preserve">5. Integralną część umowy stanowią: </w:t>
      </w:r>
    </w:p>
    <w:p>
      <w:pPr>
        <w:pStyle w:val="ListParagraph"/>
        <w:widowControl/>
        <w:tabs>
          <w:tab w:val="clear" w:pos="708"/>
          <w:tab w:val="left" w:pos="0" w:leader="none"/>
        </w:tabs>
        <w:suppressAutoHyphens w:val="true"/>
        <w:overflowPunct w:val="true"/>
        <w:bidi w:val="0"/>
        <w:spacing w:lineRule="auto" w:line="360" w:before="0" w:after="200"/>
        <w:ind w:left="261" w:right="0" w:hanging="261"/>
        <w:jc w:val="left"/>
        <w:rPr>
          <w:rFonts w:ascii="Times New Roman" w:hAnsi="Times New Roman" w:cs="Calibri"/>
          <w:sz w:val="24"/>
          <w:szCs w:val="24"/>
        </w:rPr>
      </w:pPr>
      <w:r>
        <w:rPr>
          <w:rFonts w:cs="Calibri" w:ascii="Times New Roman" w:hAnsi="Times New Roman"/>
          <w:sz w:val="24"/>
          <w:szCs w:val="24"/>
        </w:rPr>
        <w:tab/>
        <w:t>a) Załącznik nr 1 – Pełnomocnictwo;</w:t>
      </w:r>
    </w:p>
    <w:p>
      <w:pPr>
        <w:pStyle w:val="ListParagraph"/>
        <w:widowControl/>
        <w:tabs>
          <w:tab w:val="clear" w:pos="708"/>
          <w:tab w:val="left" w:pos="0" w:leader="none"/>
        </w:tabs>
        <w:suppressAutoHyphens w:val="true"/>
        <w:overflowPunct w:val="true"/>
        <w:bidi w:val="0"/>
        <w:spacing w:lineRule="auto" w:line="360" w:before="0" w:after="200"/>
        <w:ind w:left="261" w:right="0" w:hanging="261"/>
        <w:jc w:val="left"/>
        <w:rPr>
          <w:rFonts w:ascii="Times New Roman" w:hAnsi="Times New Roman" w:cs="Calibri"/>
          <w:sz w:val="24"/>
          <w:szCs w:val="24"/>
        </w:rPr>
      </w:pPr>
      <w:r>
        <w:rPr>
          <w:rFonts w:cs="Calibri" w:ascii="Times New Roman" w:hAnsi="Times New Roman"/>
          <w:sz w:val="24"/>
          <w:szCs w:val="24"/>
        </w:rPr>
        <w:tab/>
        <w:t>b) Załącznik nr 1 do Formularza ofertowego;</w:t>
      </w:r>
    </w:p>
    <w:p>
      <w:pPr>
        <w:pStyle w:val="ListParagraph"/>
        <w:widowControl/>
        <w:tabs>
          <w:tab w:val="clear" w:pos="708"/>
          <w:tab w:val="left" w:pos="0" w:leader="none"/>
        </w:tabs>
        <w:suppressAutoHyphens w:val="true"/>
        <w:overflowPunct w:val="true"/>
        <w:bidi w:val="0"/>
        <w:spacing w:lineRule="auto" w:line="360" w:before="0" w:after="200"/>
        <w:ind w:left="261" w:right="0" w:hanging="261"/>
        <w:jc w:val="left"/>
        <w:rPr>
          <w:rFonts w:ascii="Times New Roman" w:hAnsi="Times New Roman" w:cs="Calibri"/>
          <w:sz w:val="24"/>
          <w:szCs w:val="24"/>
        </w:rPr>
      </w:pPr>
      <w:r>
        <w:rPr>
          <w:rFonts w:cs="Calibri" w:ascii="Times New Roman" w:hAnsi="Times New Roman"/>
          <w:sz w:val="24"/>
          <w:szCs w:val="24"/>
        </w:rPr>
        <w:tab/>
        <w:t>c) – Zestawienie obiektów Zamawiającego wraz z danymi i grupami taryfowymi;</w:t>
      </w:r>
    </w:p>
    <w:p>
      <w:pPr>
        <w:pStyle w:val="ListParagraph"/>
        <w:widowControl/>
        <w:suppressAutoHyphens w:val="true"/>
        <w:overflowPunct w:val="true"/>
        <w:bidi w:val="0"/>
        <w:spacing w:lineRule="auto" w:line="360" w:before="0" w:after="200"/>
        <w:ind w:left="261" w:right="0" w:hanging="261"/>
        <w:jc w:val="left"/>
        <w:rPr>
          <w:rFonts w:ascii="Times New Roman" w:hAnsi="Times New Roman"/>
          <w:sz w:val="24"/>
          <w:szCs w:val="24"/>
        </w:rPr>
      </w:pPr>
      <w:r>
        <w:rPr>
          <w:rFonts w:cs="Calibri" w:ascii="Times New Roman" w:hAnsi="Times New Roman"/>
          <w:sz w:val="24"/>
          <w:szCs w:val="24"/>
        </w:rPr>
        <w:t xml:space="preserve">6. Wszelkie ewentualne spory wynikające z realizacji Umowy będą rozstrzygane polubownie lub przez sąd właściwy dla siedziby </w:t>
      </w:r>
      <w:r>
        <w:rPr>
          <w:rFonts w:cs="Calibri" w:ascii="Times New Roman" w:hAnsi="Times New Roman"/>
          <w:b/>
          <w:sz w:val="24"/>
          <w:szCs w:val="24"/>
        </w:rPr>
        <w:t>Zamawiającego</w:t>
      </w:r>
      <w:r>
        <w:rPr>
          <w:rFonts w:cs="Calibri" w:ascii="Times New Roman" w:hAnsi="Times New Roman"/>
          <w:sz w:val="24"/>
          <w:szCs w:val="24"/>
        </w:rPr>
        <w:t>.</w:t>
      </w:r>
    </w:p>
    <w:p>
      <w:pPr>
        <w:pStyle w:val="ListParagraph"/>
        <w:widowControl/>
        <w:suppressAutoHyphens w:val="true"/>
        <w:overflowPunct w:val="true"/>
        <w:bidi w:val="0"/>
        <w:spacing w:lineRule="auto" w:line="360" w:before="0" w:after="200"/>
        <w:ind w:left="248" w:right="0" w:hanging="248"/>
        <w:jc w:val="left"/>
        <w:rPr>
          <w:rFonts w:ascii="Times New Roman" w:hAnsi="Times New Roman" w:cs="Calibri"/>
          <w:sz w:val="24"/>
          <w:szCs w:val="24"/>
        </w:rPr>
      </w:pPr>
      <w:r>
        <w:rPr>
          <w:rFonts w:cs="Calibri" w:ascii="Times New Roman" w:hAnsi="Times New Roman"/>
          <w:sz w:val="24"/>
          <w:szCs w:val="24"/>
        </w:rPr>
        <w:t>7. Zmiany umowy, wymagają formy pisemnej w postaci aneksu, pod rygorem nieważności.</w:t>
      </w:r>
    </w:p>
    <w:p>
      <w:pPr>
        <w:pStyle w:val="Normal"/>
        <w:spacing w:lineRule="auto" w:line="360"/>
        <w:jc w:val="left"/>
        <w:rPr>
          <w:rFonts w:ascii="Times New Roman" w:hAnsi="Times New Roman" w:cs="Calibri"/>
          <w:b/>
          <w:b/>
          <w:sz w:val="24"/>
          <w:szCs w:val="24"/>
        </w:rPr>
      </w:pPr>
      <w:r>
        <w:rPr>
          <w:rFonts w:cs="Calibri" w:ascii="Times New Roman" w:hAnsi="Times New Roman"/>
          <w:b/>
          <w:sz w:val="24"/>
          <w:szCs w:val="24"/>
        </w:rPr>
      </w:r>
    </w:p>
    <w:p>
      <w:pPr>
        <w:pStyle w:val="Normal"/>
        <w:spacing w:lineRule="auto" w:line="360"/>
        <w:jc w:val="left"/>
        <w:rPr>
          <w:rFonts w:ascii="Times New Roman" w:hAnsi="Times New Roman" w:cs="Calibri"/>
          <w:b/>
          <w:b/>
          <w:sz w:val="24"/>
          <w:szCs w:val="24"/>
        </w:rPr>
      </w:pPr>
      <w:r>
        <w:rPr>
          <w:rFonts w:cs="Calibri" w:ascii="Times New Roman" w:hAnsi="Times New Roman"/>
          <w:b/>
          <w:sz w:val="24"/>
          <w:szCs w:val="24"/>
        </w:rPr>
      </w:r>
    </w:p>
    <w:p>
      <w:pPr>
        <w:pStyle w:val="Normal"/>
        <w:spacing w:lineRule="auto" w:line="360"/>
        <w:jc w:val="left"/>
        <w:rPr>
          <w:rFonts w:ascii="Times New Roman" w:hAnsi="Times New Roman" w:cs="Calibri"/>
          <w:b/>
          <w:b/>
          <w:sz w:val="24"/>
          <w:szCs w:val="24"/>
        </w:rPr>
      </w:pPr>
      <w:r>
        <w:rPr>
          <w:rFonts w:cs="Calibri" w:ascii="Times New Roman" w:hAnsi="Times New Roman"/>
          <w:b/>
          <w:sz w:val="24"/>
          <w:szCs w:val="24"/>
        </w:rPr>
      </w:r>
    </w:p>
    <w:p>
      <w:pPr>
        <w:pStyle w:val="Normal"/>
        <w:spacing w:lineRule="auto" w:line="360"/>
        <w:ind w:left="0" w:right="0" w:firstLine="708"/>
        <w:jc w:val="left"/>
        <w:rPr>
          <w:rFonts w:ascii="Times New Roman" w:hAnsi="Times New Roman" w:cs="Calibri"/>
          <w:b/>
          <w:b/>
          <w:sz w:val="24"/>
          <w:szCs w:val="24"/>
        </w:rPr>
      </w:pPr>
      <w:r>
        <w:rPr>
          <w:rFonts w:cs="Calibri" w:ascii="Times New Roman" w:hAnsi="Times New Roman"/>
          <w:b/>
          <w:sz w:val="24"/>
          <w:szCs w:val="24"/>
        </w:rPr>
        <w:t>Wykonawca                                                                                         Zamawiający</w:t>
      </w:r>
    </w:p>
    <w:p>
      <w:pPr>
        <w:pStyle w:val="Normal"/>
        <w:spacing w:lineRule="auto" w:line="360"/>
        <w:ind w:left="0" w:right="0" w:firstLine="708"/>
        <w:jc w:val="left"/>
        <w:rPr>
          <w:rFonts w:ascii="Times New Roman" w:hAnsi="Times New Roman" w:cs="Calibri"/>
          <w:b/>
          <w:b/>
          <w:sz w:val="24"/>
          <w:szCs w:val="24"/>
        </w:rPr>
      </w:pPr>
      <w:r>
        <w:rPr>
          <w:rFonts w:cs="Calibri" w:ascii="Times New Roman" w:hAnsi="Times New Roman"/>
          <w:b/>
          <w:sz w:val="24"/>
          <w:szCs w:val="24"/>
        </w:rPr>
      </w:r>
    </w:p>
    <w:p>
      <w:pPr>
        <w:pStyle w:val="Normal"/>
        <w:spacing w:lineRule="auto" w:line="360"/>
        <w:ind w:left="0" w:right="0" w:firstLine="708"/>
        <w:jc w:val="left"/>
        <w:rPr>
          <w:rFonts w:ascii="Times New Roman" w:hAnsi="Times New Roman" w:cs="Calibri"/>
          <w:b/>
          <w:b/>
          <w:sz w:val="24"/>
          <w:szCs w:val="24"/>
        </w:rPr>
      </w:pPr>
      <w:r>
        <w:rPr>
          <w:rFonts w:cs="Calibri" w:ascii="Times New Roman" w:hAnsi="Times New Roman"/>
          <w:b/>
          <w:sz w:val="24"/>
          <w:szCs w:val="24"/>
        </w:rPr>
      </w:r>
    </w:p>
    <w:p>
      <w:pPr>
        <w:pStyle w:val="Normal"/>
        <w:spacing w:lineRule="auto" w:line="360"/>
        <w:ind w:left="0" w:right="0" w:firstLine="708"/>
        <w:jc w:val="left"/>
        <w:rPr>
          <w:rFonts w:ascii="Times New Roman" w:hAnsi="Times New Roman" w:cs="Calibri"/>
          <w:b/>
          <w:b/>
          <w:sz w:val="24"/>
          <w:szCs w:val="24"/>
        </w:rPr>
      </w:pPr>
      <w:r>
        <w:rPr>
          <w:rFonts w:cs="Calibri" w:ascii="Times New Roman" w:hAnsi="Times New Roman"/>
          <w:b/>
          <w:sz w:val="24"/>
          <w:szCs w:val="24"/>
        </w:rPr>
      </w:r>
    </w:p>
    <w:p>
      <w:pPr>
        <w:pStyle w:val="Normal"/>
        <w:jc w:val="center"/>
        <w:rPr>
          <w:rFonts w:ascii="Times New Roman" w:hAnsi="Times New Roman"/>
          <w:b/>
          <w:b/>
          <w:sz w:val="20"/>
          <w:szCs w:val="20"/>
        </w:rPr>
      </w:pPr>
      <w:r>
        <w:rPr>
          <w:rFonts w:ascii="Times New Roman" w:hAnsi="Times New Roman"/>
          <w:b/>
          <w:sz w:val="20"/>
          <w:szCs w:val="20"/>
        </w:rPr>
        <w:t>KLAUZULA INFORMACYJNA W DOMU POMOCY SPOŁECZNEJ W RADOMSKU</w:t>
      </w:r>
    </w:p>
    <w:p>
      <w:pPr>
        <w:pStyle w:val="Normal"/>
        <w:jc w:val="center"/>
        <w:rPr>
          <w:rFonts w:ascii="Times New Roman" w:hAnsi="Times New Roman"/>
          <w:b/>
          <w:b/>
          <w:sz w:val="20"/>
          <w:szCs w:val="20"/>
        </w:rPr>
      </w:pPr>
      <w:r>
        <w:rPr>
          <w:rFonts w:ascii="Times New Roman" w:hAnsi="Times New Roman"/>
          <w:b/>
          <w:sz w:val="20"/>
          <w:szCs w:val="20"/>
        </w:rPr>
        <w:t>UMOWY CYWILNO – PRAWNE</w:t>
      </w:r>
    </w:p>
    <w:p>
      <w:pPr>
        <w:pStyle w:val="Normal"/>
        <w:jc w:val="center"/>
        <w:rPr>
          <w:rFonts w:ascii="Times New Roman" w:hAnsi="Times New Roman"/>
          <w:b/>
          <w:b/>
          <w:sz w:val="20"/>
          <w:szCs w:val="20"/>
        </w:rPr>
      </w:pPr>
      <w:r>
        <w:rPr>
          <w:rFonts w:ascii="Times New Roman" w:hAnsi="Times New Roman"/>
          <w:b/>
          <w:sz w:val="20"/>
          <w:szCs w:val="20"/>
        </w:rPr>
      </w:r>
    </w:p>
    <w:p>
      <w:pPr>
        <w:pStyle w:val="NormalWeb"/>
        <w:spacing w:lineRule="auto" w:line="276"/>
        <w:jc w:val="left"/>
        <w:rPr>
          <w:rFonts w:ascii="Times New Roman" w:hAnsi="Times New Roman"/>
          <w:sz w:val="20"/>
          <w:szCs w:val="20"/>
        </w:rPr>
      </w:pPr>
      <w:r>
        <w:rPr>
          <w:rFonts w:ascii="Times New Roman" w:hAnsi="Times New Roman"/>
          <w:sz w:val="20"/>
          <w:szCs w:val="20"/>
        </w:rPr>
        <w:t>Zgodnie z art. 13 ust 1 i 2 ogólnego rozporządzenia o ochronie danych osobowych z dnia 27 kwietnia 2016 r. (Dz. Urz. UE L 119 z 04.05.2016) informuję, iż:</w:t>
      </w:r>
    </w:p>
    <w:p>
      <w:pPr>
        <w:pStyle w:val="ListParagraph"/>
        <w:numPr>
          <w:ilvl w:val="0"/>
          <w:numId w:val="23"/>
        </w:numPr>
        <w:spacing w:before="120" w:after="120"/>
        <w:ind w:left="720" w:right="0" w:hanging="357"/>
        <w:jc w:val="left"/>
        <w:rPr>
          <w:rFonts w:ascii="Times New Roman" w:hAnsi="Times New Roman"/>
          <w:sz w:val="20"/>
          <w:szCs w:val="20"/>
        </w:rPr>
      </w:pPr>
      <w:r>
        <w:rPr>
          <w:rFonts w:ascii="Times New Roman" w:hAnsi="Times New Roman"/>
          <w:sz w:val="20"/>
          <w:szCs w:val="20"/>
        </w:rPr>
        <w:t>Administratorem Pani/Pana danych osobowych jest Dom Pomocy Społecznej, ul. I. Krasickiego 138, 97-500 Radomsko, tel. 44 682 08 40.</w:t>
      </w:r>
    </w:p>
    <w:p>
      <w:pPr>
        <w:pStyle w:val="ListParagraph"/>
        <w:numPr>
          <w:ilvl w:val="0"/>
          <w:numId w:val="23"/>
        </w:numPr>
        <w:spacing w:before="120" w:after="120"/>
        <w:ind w:left="720" w:right="0" w:hanging="357"/>
        <w:jc w:val="left"/>
        <w:rPr/>
      </w:pPr>
      <w:r>
        <w:rPr>
          <w:rFonts w:ascii="Times New Roman" w:hAnsi="Times New Roman"/>
          <w:sz w:val="20"/>
          <w:szCs w:val="20"/>
        </w:rPr>
        <w:t xml:space="preserve">Administrator wyznaczył Inspektora Ochrony Danych, jest nim Adam Pałecz, kontakt  </w:t>
      </w:r>
      <w:hyperlink r:id="rId2">
        <w:r>
          <w:rPr>
            <w:rStyle w:val="Czeinternetowe"/>
            <w:rFonts w:ascii="Times New Roman" w:hAnsi="Times New Roman"/>
            <w:sz w:val="20"/>
            <w:szCs w:val="20"/>
          </w:rPr>
          <w:t>iod@dpsradomsko.naszdps.pl</w:t>
        </w:r>
      </w:hyperlink>
      <w:r>
        <w:rPr>
          <w:rFonts w:ascii="Times New Roman" w:hAnsi="Times New Roman"/>
          <w:sz w:val="20"/>
          <w:szCs w:val="20"/>
        </w:rPr>
        <w:t>. Z Inspektorem Ochrony Danych można kontaktować się we wszystkich sprawach dotyczących danych osobowych przetwarzanych przez administratora.</w:t>
      </w:r>
    </w:p>
    <w:p>
      <w:pPr>
        <w:pStyle w:val="ListParagraph"/>
        <w:numPr>
          <w:ilvl w:val="0"/>
          <w:numId w:val="23"/>
        </w:numPr>
        <w:spacing w:before="120" w:after="120"/>
        <w:ind w:left="720" w:right="0" w:hanging="357"/>
        <w:jc w:val="left"/>
        <w:rPr>
          <w:rFonts w:ascii="Times New Roman" w:hAnsi="Times New Roman"/>
          <w:sz w:val="20"/>
          <w:szCs w:val="20"/>
        </w:rPr>
      </w:pPr>
      <w:r>
        <w:rPr>
          <w:rFonts w:ascii="Times New Roman" w:hAnsi="Times New Roman"/>
          <w:sz w:val="20"/>
          <w:szCs w:val="20"/>
        </w:rPr>
        <w:t>Pana/Pani dane osobowe będą przetwarzane w celach związanych z zawarciem i realizacją umowy cywilno-prawnej w oparciu o art. 6 ust.1 lit. b) RODO.</w:t>
      </w:r>
    </w:p>
    <w:p>
      <w:pPr>
        <w:pStyle w:val="ListParagraph"/>
        <w:numPr>
          <w:ilvl w:val="0"/>
          <w:numId w:val="23"/>
        </w:numPr>
        <w:spacing w:before="120" w:after="120"/>
        <w:ind w:left="720" w:right="0" w:hanging="357"/>
        <w:jc w:val="left"/>
        <w:rPr>
          <w:rFonts w:ascii="Times New Roman" w:hAnsi="Times New Roman"/>
          <w:sz w:val="20"/>
          <w:szCs w:val="20"/>
        </w:rPr>
      </w:pPr>
      <w:r>
        <w:rPr>
          <w:rFonts w:ascii="Times New Roman" w:hAnsi="Times New Roman"/>
          <w:sz w:val="20"/>
          <w:szCs w:val="20"/>
        </w:rPr>
        <w:t>Odbiorcami Pani/Pana danych osobowych mogą być podmioty upoważnione na podstawie obowiązujących przepisów prawa, podmioty przetwarzające na podstawie zawartych umów, gwarantujące wdrożenie odpowiednich zabezpieczeń zgodnych z RODO, ·w szczególności podmioty dostarczające rozwiązania IT dla Starostwa.</w:t>
      </w:r>
    </w:p>
    <w:p>
      <w:pPr>
        <w:pStyle w:val="ListParagraph"/>
        <w:numPr>
          <w:ilvl w:val="0"/>
          <w:numId w:val="23"/>
        </w:numPr>
        <w:spacing w:before="120" w:after="120"/>
        <w:ind w:left="720" w:right="0" w:hanging="357"/>
        <w:jc w:val="left"/>
        <w:rPr>
          <w:rFonts w:ascii="Times New Roman" w:hAnsi="Times New Roman"/>
          <w:sz w:val="20"/>
          <w:szCs w:val="20"/>
        </w:rPr>
      </w:pPr>
      <w:r>
        <w:rPr>
          <w:rFonts w:ascii="Times New Roman" w:hAnsi="Times New Roman"/>
          <w:sz w:val="20"/>
          <w:szCs w:val="20"/>
        </w:rPr>
        <w:t>Pani/Pana dane osobowe będą przechowywane do chwili realizacji zadania, do którego dane osobowe zostały zebrane a następnie, jeśli chodzi o materiały archiwalne, przez czas wynikający z przepisów ustawy z dnia 14 lipca 1983 r. o narodowym zasobie archiwalnym i archiwach.</w:t>
      </w:r>
    </w:p>
    <w:p>
      <w:pPr>
        <w:pStyle w:val="ListParagraph"/>
        <w:numPr>
          <w:ilvl w:val="0"/>
          <w:numId w:val="23"/>
        </w:numPr>
        <w:spacing w:before="120" w:after="120"/>
        <w:ind w:left="720" w:right="0" w:hanging="357"/>
        <w:jc w:val="left"/>
        <w:rPr>
          <w:rFonts w:ascii="Times New Roman" w:hAnsi="Times New Roman"/>
          <w:sz w:val="20"/>
          <w:szCs w:val="20"/>
        </w:rPr>
      </w:pPr>
      <w:r>
        <w:rPr>
          <w:rFonts w:ascii="Times New Roman" w:hAnsi="Times New Roman"/>
          <w:sz w:val="20"/>
          <w:szCs w:val="20"/>
        </w:rPr>
        <w:t>Zgodnie z RODO przysługuje Pani/Panu prawo do:</w:t>
      </w:r>
    </w:p>
    <w:p>
      <w:pPr>
        <w:pStyle w:val="ListParagraph"/>
        <w:numPr>
          <w:ilvl w:val="1"/>
          <w:numId w:val="24"/>
        </w:numPr>
        <w:spacing w:before="0" w:after="0"/>
        <w:ind w:left="720" w:right="0" w:hanging="357"/>
        <w:jc w:val="left"/>
        <w:rPr>
          <w:rFonts w:ascii="Times New Roman" w:hAnsi="Times New Roman"/>
          <w:sz w:val="20"/>
          <w:szCs w:val="20"/>
        </w:rPr>
      </w:pPr>
      <w:r>
        <w:rPr>
          <w:rFonts w:ascii="Times New Roman" w:hAnsi="Times New Roman"/>
          <w:sz w:val="20"/>
          <w:szCs w:val="20"/>
        </w:rPr>
        <w:t>dostępu do swoich danych osobowych;</w:t>
      </w:r>
    </w:p>
    <w:p>
      <w:pPr>
        <w:pStyle w:val="ListParagraph"/>
        <w:numPr>
          <w:ilvl w:val="1"/>
          <w:numId w:val="24"/>
        </w:numPr>
        <w:spacing w:before="0" w:after="0"/>
        <w:ind w:left="720" w:right="0" w:hanging="357"/>
        <w:jc w:val="left"/>
        <w:rPr>
          <w:rFonts w:ascii="Times New Roman" w:hAnsi="Times New Roman"/>
          <w:sz w:val="20"/>
          <w:szCs w:val="20"/>
        </w:rPr>
      </w:pPr>
      <w:r>
        <w:rPr>
          <w:rFonts w:ascii="Times New Roman" w:hAnsi="Times New Roman"/>
          <w:sz w:val="20"/>
          <w:szCs w:val="20"/>
        </w:rPr>
        <w:t>sprostowania swoich danych osobowych;</w:t>
      </w:r>
    </w:p>
    <w:p>
      <w:pPr>
        <w:pStyle w:val="ListParagraph"/>
        <w:numPr>
          <w:ilvl w:val="1"/>
          <w:numId w:val="24"/>
        </w:numPr>
        <w:spacing w:before="0" w:after="0"/>
        <w:ind w:left="720" w:right="0" w:hanging="357"/>
        <w:jc w:val="left"/>
        <w:rPr>
          <w:rFonts w:ascii="Times New Roman" w:hAnsi="Times New Roman"/>
          <w:sz w:val="20"/>
          <w:szCs w:val="20"/>
        </w:rPr>
      </w:pPr>
      <w:r>
        <w:rPr>
          <w:rFonts w:ascii="Times New Roman" w:hAnsi="Times New Roman"/>
          <w:sz w:val="20"/>
          <w:szCs w:val="20"/>
        </w:rPr>
        <w:t>żądania usunięcia swoich danych osobowych;</w:t>
      </w:r>
    </w:p>
    <w:p>
      <w:pPr>
        <w:pStyle w:val="ListParagraph"/>
        <w:numPr>
          <w:ilvl w:val="1"/>
          <w:numId w:val="24"/>
        </w:numPr>
        <w:spacing w:before="0" w:after="0"/>
        <w:ind w:left="720" w:right="0" w:hanging="357"/>
        <w:jc w:val="left"/>
        <w:rPr>
          <w:rFonts w:ascii="Times New Roman" w:hAnsi="Times New Roman"/>
          <w:sz w:val="20"/>
          <w:szCs w:val="20"/>
        </w:rPr>
      </w:pPr>
      <w:r>
        <w:rPr>
          <w:rFonts w:ascii="Times New Roman" w:hAnsi="Times New Roman"/>
          <w:sz w:val="20"/>
          <w:szCs w:val="20"/>
        </w:rPr>
        <w:t>żądania ograniczenia przetwarzania danych osobowych;</w:t>
      </w:r>
    </w:p>
    <w:p>
      <w:pPr>
        <w:pStyle w:val="ListParagraph"/>
        <w:numPr>
          <w:ilvl w:val="1"/>
          <w:numId w:val="24"/>
        </w:numPr>
        <w:spacing w:before="0" w:after="0"/>
        <w:ind w:left="720" w:right="0" w:hanging="357"/>
        <w:jc w:val="left"/>
        <w:rPr>
          <w:rFonts w:ascii="Times New Roman" w:hAnsi="Times New Roman"/>
          <w:sz w:val="20"/>
          <w:szCs w:val="20"/>
        </w:rPr>
      </w:pPr>
      <w:r>
        <w:rPr>
          <w:rFonts w:ascii="Times New Roman" w:hAnsi="Times New Roman"/>
          <w:sz w:val="20"/>
          <w:szCs w:val="20"/>
        </w:rPr>
        <w:t>wniesienia sprzeciwu wobec przetwarzania swoich danych osobowych;</w:t>
      </w:r>
    </w:p>
    <w:p>
      <w:pPr>
        <w:pStyle w:val="ListParagraph"/>
        <w:numPr>
          <w:ilvl w:val="1"/>
          <w:numId w:val="24"/>
        </w:numPr>
        <w:spacing w:before="0" w:after="0"/>
        <w:ind w:left="720" w:right="0" w:hanging="357"/>
        <w:jc w:val="left"/>
        <w:rPr>
          <w:rFonts w:ascii="Times New Roman" w:hAnsi="Times New Roman"/>
          <w:sz w:val="20"/>
          <w:szCs w:val="20"/>
        </w:rPr>
      </w:pPr>
      <w:r>
        <w:rPr>
          <w:rFonts w:ascii="Times New Roman" w:hAnsi="Times New Roman"/>
          <w:sz w:val="20"/>
          <w:szCs w:val="20"/>
        </w:rPr>
        <w:t>żądania przeniesienia swoich danych osobowych;</w:t>
      </w:r>
    </w:p>
    <w:p>
      <w:pPr>
        <w:pStyle w:val="ListParagraph"/>
        <w:numPr>
          <w:ilvl w:val="1"/>
          <w:numId w:val="24"/>
        </w:numPr>
        <w:spacing w:before="0" w:after="0"/>
        <w:ind w:left="720" w:right="0" w:hanging="357"/>
        <w:jc w:val="left"/>
        <w:rPr>
          <w:rFonts w:ascii="Times New Roman" w:hAnsi="Times New Roman"/>
          <w:sz w:val="20"/>
          <w:szCs w:val="20"/>
        </w:rPr>
      </w:pPr>
      <w:r>
        <w:rPr>
          <w:rFonts w:ascii="Times New Roman" w:hAnsi="Times New Roman"/>
          <w:sz w:val="20"/>
          <w:szCs w:val="20"/>
        </w:rPr>
        <w:t>wniesienia skargi do organu nadzorczego, tj. Prezesa Urzędu Ochrony Danych Osobowych, ul. Stawki 2, 00-193 Warszawa.</w:t>
      </w:r>
    </w:p>
    <w:p>
      <w:pPr>
        <w:pStyle w:val="ListParagraph"/>
        <w:numPr>
          <w:ilvl w:val="0"/>
          <w:numId w:val="23"/>
        </w:numPr>
        <w:spacing w:before="120" w:after="120"/>
        <w:ind w:left="720" w:right="0" w:hanging="357"/>
        <w:jc w:val="left"/>
        <w:rPr>
          <w:rFonts w:ascii="Times New Roman" w:hAnsi="Times New Roman"/>
          <w:sz w:val="20"/>
          <w:szCs w:val="20"/>
        </w:rPr>
      </w:pPr>
      <w:r>
        <w:rPr>
          <w:rFonts w:ascii="Times New Roman" w:hAnsi="Times New Roman"/>
          <w:sz w:val="20"/>
          <w:szCs w:val="20"/>
        </w:rPr>
        <w:t>Państwa dane nie będą przetwarzane w sposób zautomatyzowany, w tym w formie profilowania. Państwa dane nie będą przekazywane do państw trzecich lub organizacji międzynarodowych.</w:t>
      </w:r>
    </w:p>
    <w:p>
      <w:pPr>
        <w:pStyle w:val="ListParagraph"/>
        <w:numPr>
          <w:ilvl w:val="0"/>
          <w:numId w:val="23"/>
        </w:numPr>
        <w:spacing w:before="120" w:after="120"/>
        <w:ind w:left="720" w:right="0" w:hanging="357"/>
        <w:jc w:val="left"/>
        <w:rPr>
          <w:rFonts w:ascii="Times New Roman" w:hAnsi="Times New Roman"/>
          <w:sz w:val="20"/>
          <w:szCs w:val="20"/>
        </w:rPr>
      </w:pPr>
      <w:r>
        <w:rPr>
          <w:rFonts w:ascii="Times New Roman" w:hAnsi="Times New Roman"/>
          <w:sz w:val="20"/>
          <w:szCs w:val="20"/>
        </w:rPr>
        <w:t>Podanie danych osobowych w zakresie niezbędnym do realizacji zawartej umów oraz prowadzenia rozliczeń między stronami jest obligatoryjne, a w pozostałym zakresie jest dobrowolne. Konsekwencją niepodania danych osobowych jest brak możliwości zawarcia umowy.</w:t>
      </w:r>
    </w:p>
    <w:sectPr>
      <w:headerReference w:type="even" r:id="rId3"/>
      <w:headerReference w:type="default" r:id="rId4"/>
      <w:footerReference w:type="even" r:id="rId5"/>
      <w:footerReference w:type="default" r:id="rId6"/>
      <w:type w:val="nextPage"/>
      <w:pgSz w:w="11906" w:h="16838"/>
      <w:pgMar w:left="1417" w:right="1417" w:gutter="0" w:header="708" w:top="765" w:footer="708" w:bottom="1417"/>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Arial">
    <w:charset w:val="ee"/>
    <w:family w:val="roman"/>
    <w:pitch w:val="variable"/>
  </w:font>
  <w:font w:name="Calibri Light">
    <w:charset w:val="ee"/>
    <w:family w:val="roman"/>
    <w:pitch w:val="variable"/>
  </w:font>
  <w:font w:name="Times New Roman">
    <w:charset w:val="ee"/>
    <w:family w:val="roman"/>
    <w:pitch w:val="variable"/>
  </w:font>
  <w:font w:name="Gill Sans CE">
    <w:charset w:val="ee"/>
    <w:family w:val="roman"/>
    <w:pitch w:val="variable"/>
  </w:font>
  <w:font w:name="Segoe UI">
    <w:charset w:val="ee"/>
    <w:family w:val="roman"/>
    <w:pitch w:val="variable"/>
  </w:font>
  <w:font w:name="Arial">
    <w:charset w:val="ee"/>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opka"/>
      <w:ind w:left="0" w:right="360" w:hanging="0"/>
      <w:rPr/>
    </w:pPr>
    <w:r>
      <w:rPr/>
    </w:r>
    <w:r>
      <mc:AlternateContent>
        <mc:Choice Requires="wps">
          <w:drawing>
            <wp:anchor behindDoc="0" distT="0" distB="0" distL="0" distR="0" simplePos="0" locked="0" layoutInCell="1" allowOverlap="1" relativeHeight="8">
              <wp:simplePos x="0" y="0"/>
              <wp:positionH relativeFrom="margin">
                <wp:align>right</wp:align>
              </wp:positionH>
              <wp:positionV relativeFrom="paragraph">
                <wp:posOffset>635</wp:posOffset>
              </wp:positionV>
              <wp:extent cx="154940" cy="186055"/>
              <wp:effectExtent l="0" t="0" r="0" b="0"/>
              <wp:wrapSquare wrapText="largest"/>
              <wp:docPr id="1" name="Ramka1"/>
              <a:graphic xmlns:a="http://schemas.openxmlformats.org/drawingml/2006/main">
                <a:graphicData uri="http://schemas.microsoft.com/office/word/2010/wordprocessingShape">
                  <wps:wsp>
                    <wps:cNvSpPr txBox="1"/>
                    <wps:spPr>
                      <a:xfrm>
                        <a:off x="0" y="0"/>
                        <a:ext cx="154940" cy="186055"/>
                      </a:xfrm>
                      <a:prstGeom prst="rect"/>
                      <a:solidFill>
                        <a:srgbClr val="FFFFFF"/>
                      </a:solidFill>
                    </wps:spPr>
                    <wps:txbx>
                      <w:txbxContent>
                        <w:p>
                          <w:pPr>
                            <w:pStyle w:val="Stopka"/>
                            <w:pBdr/>
                            <w:rPr/>
                          </w:pPr>
                          <w:r>
                            <w:rPr/>
                            <w:fldChar w:fldCharType="begin"/>
                          </w:r>
                          <w:r>
                            <w:rPr/>
                            <w:instrText xml:space="preserve"> PAGE </w:instrText>
                          </w:r>
                          <w:r>
                            <w:rPr/>
                            <w:fldChar w:fldCharType="separate"/>
                          </w:r>
                          <w:r>
                            <w:rPr/>
                            <w:t>14</w:t>
                          </w:r>
                          <w:r>
                            <w:rPr/>
                            <w:fldChar w:fldCharType="end"/>
                          </w:r>
                        </w:p>
                      </w:txbxContent>
                    </wps:txbx>
                    <wps:bodyPr anchor="t" lIns="0" tIns="0" rIns="0" bIns="0">
                      <a:noAutofit/>
                    </wps:bodyPr>
                  </wps:wsp>
                </a:graphicData>
              </a:graphic>
            </wp:anchor>
          </w:drawing>
        </mc:Choice>
        <mc:Fallback>
          <w:pict>
            <v:rect style="position:absolute;rotation:-0;width:12.2pt;height:14.65pt;mso-wrap-distance-left:-0.05pt;mso-wrap-distance-right:-0.05pt;mso-wrap-distance-top:0pt;mso-wrap-distance-bottom:0pt;margin-top:0.05pt;mso-position-vertical-relative:text;margin-left:441.45pt;mso-position-horizontal:right;mso-position-horizontal-relative:margin">
              <v:textbox inset="0in,0in,0in,0in">
                <w:txbxContent>
                  <w:p>
                    <w:pPr>
                      <w:pStyle w:val="Stopka"/>
                      <w:pBdr/>
                      <w:rPr/>
                    </w:pPr>
                    <w:r>
                      <w:rPr/>
                      <w:fldChar w:fldCharType="begin"/>
                    </w:r>
                    <w:r>
                      <w:rPr/>
                      <w:instrText xml:space="preserve"> PAGE </w:instrText>
                    </w:r>
                    <w:r>
                      <w:rPr/>
                      <w:fldChar w:fldCharType="separate"/>
                    </w:r>
                    <w:r>
                      <w:rPr/>
                      <w:t>14</w:t>
                    </w:r>
                    <w:r>
                      <w:rPr/>
                      <w:fldChar w:fldCharType="end"/>
                    </w:r>
                  </w:p>
                </w:txbxContent>
              </v:textbox>
              <w10:wrap type="square" side="largest"/>
            </v:rect>
          </w:pict>
        </mc:Fallback>
      </mc:AlternateContent>
    </w:r>
  </w:p>
  <w:p>
    <w:pPr>
      <w:pStyle w:val="Normal"/>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opka"/>
      <w:jc w:val="right"/>
      <w:rPr/>
    </w:pPr>
    <w:r>
      <w:rPr>
        <w:rFonts w:ascii="Calibri Light" w:hAnsi="Calibri Light"/>
      </w:rPr>
      <w:t xml:space="preserve">str. </w:t>
    </w:r>
    <w:r>
      <w:rPr/>
      <w:fldChar w:fldCharType="begin"/>
    </w:r>
    <w:r>
      <w:rPr/>
      <w:instrText xml:space="preserve"> PAGE </w:instrText>
    </w:r>
    <w:r>
      <w:rPr/>
      <w:fldChar w:fldCharType="separate"/>
    </w:r>
    <w:r>
      <w:rPr/>
      <w:t>15</w:t>
    </w:r>
    <w:r>
      <w:rPr/>
      <w:fldChar w:fldCharType="end"/>
    </w:r>
  </w:p>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Nagwek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pStyle w:val="Nagwek3"/>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decimal"/>
      <w:lvlText w:val="%1."/>
      <w:lvlJc w:val="left"/>
      <w:pPr>
        <w:tabs>
          <w:tab w:val="num" w:pos="360"/>
        </w:tabs>
        <w:ind w:left="283" w:hanging="283"/>
      </w:pPr>
      <w:rPr>
        <w:b w:val="false"/>
        <w:bCs/>
        <w:color w:val="00000A"/>
      </w:rPr>
    </w:lvl>
    <w:lvl w:ilvl="1">
      <w:start w:val="1"/>
      <w:numFmt w:val="lowerLetter"/>
      <w:lvlText w:val="%2)"/>
      <w:lvlJc w:val="left"/>
      <w:pPr>
        <w:tabs>
          <w:tab w:val="num" w:pos="0"/>
        </w:tabs>
        <w:ind w:left="1440" w:hanging="360"/>
      </w:pPr>
      <w:rPr>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3">
    <w:lvl w:ilvl="0">
      <w:start w:val="1"/>
      <w:numFmt w:val="lowerLetter"/>
      <w:lvlText w:val="%1)"/>
      <w:lvlJc w:val="left"/>
      <w:pPr>
        <w:tabs>
          <w:tab w:val="num" w:pos="785"/>
        </w:tabs>
        <w:ind w:left="785" w:hanging="360"/>
      </w:pPr>
      <w:rPr>
        <w:b/>
        <w:rFonts w:eastAsia="Times New Roman" w:cs="Calibri"/>
        <w:color w:val="00000A"/>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4">
    <w:lvl w:ilvl="0">
      <w:start w:val="1"/>
      <w:numFmt w:val="lowerLetter"/>
      <w:lvlText w:val="%1)"/>
      <w:lvlJc w:val="left"/>
      <w:pPr>
        <w:tabs>
          <w:tab w:val="num" w:pos="644"/>
        </w:tabs>
        <w:ind w:left="644" w:hanging="360"/>
      </w:pPr>
      <w:rPr>
        <w:b/>
        <w:rFonts w:eastAsia="Times New Roman" w:cs="Calibri"/>
      </w:rPr>
    </w:lvl>
    <w:lvl w:ilvl="1">
      <w:start w:val="1"/>
      <w:numFmt w:val="decimal"/>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2.%3."/>
      <w:lvlJc w:val="left"/>
      <w:pPr>
        <w:tabs>
          <w:tab w:val="num" w:pos="2340"/>
        </w:tabs>
        <w:ind w:left="2340" w:hanging="360"/>
      </w:pPr>
      <w:rPr>
        <w:i w:val="false"/>
        <w:b w:val="false"/>
        <w:bCs/>
        <w:rFonts w:eastAsia="Times New Roman" w:cs="Calibri"/>
      </w:rPr>
    </w:lvl>
    <w:lvl w:ilvl="3">
      <w:start w:val="1"/>
      <w:numFmt w:val="bullet"/>
      <w:lvlText w:val=""/>
      <w:lvlJc w:val="left"/>
      <w:pPr>
        <w:tabs>
          <w:tab w:val="num" w:pos="2880"/>
        </w:tabs>
        <w:ind w:left="2880" w:hanging="360"/>
      </w:pPr>
      <w:rPr>
        <w:rFonts w:ascii="Symbol" w:hAnsi="Symbol" w:cs="Symbol" w:hint="default"/>
      </w:r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6">
    <w:lvl w:ilvl="0">
      <w:start w:val="1"/>
      <w:numFmt w:val="decimal"/>
      <w:lvlText w:val="%1."/>
      <w:lvlJc w:val="left"/>
      <w:pPr>
        <w:tabs>
          <w:tab w:val="num" w:pos="360"/>
        </w:tabs>
        <w:ind w:left="283" w:hanging="283"/>
      </w:pPr>
      <w:rPr>
        <w:b w:val="false"/>
        <w:bCs/>
        <w:rFonts w:eastAsia="Times New Roman" w:cs="Calibri"/>
        <w:color w:val="00000A"/>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lvl w:ilvl="0">
      <w:start w:val="1"/>
      <w:numFmt w:val="decimal"/>
      <w:lvlText w:val="%1."/>
      <w:lvlJc w:val="left"/>
      <w:pPr>
        <w:tabs>
          <w:tab w:val="num" w:pos="360"/>
        </w:tabs>
        <w:ind w:left="283" w:hanging="283"/>
      </w:pPr>
      <w:rPr>
        <w:i w:val="false"/>
        <w:b w:val="false"/>
        <w:bCs/>
        <w:rFonts w:eastAsia="Times New Roman" w:cs="Calibri"/>
        <w:color w:val="00000A"/>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8">
    <w:lvl w:ilvl="0">
      <w:start w:val="1"/>
      <w:numFmt w:val="decimal"/>
      <w:lvlText w:val="%1."/>
      <w:lvlJc w:val="left"/>
      <w:pPr>
        <w:tabs>
          <w:tab w:val="num" w:pos="360"/>
        </w:tabs>
        <w:ind w:left="283" w:hanging="283"/>
      </w:pPr>
      <w:rPr>
        <w:b w:val="false"/>
        <w:bCs w:val="false"/>
        <w:rFonts w:eastAsia="Times New Roman" w:cs="Calibri"/>
        <w:color w:val="00000A"/>
      </w:rPr>
    </w:lvl>
    <w:lvl w:ilvl="1">
      <w:start w:val="1"/>
      <w:numFmt w:val="decimal"/>
      <w:lvlText w:val="%2)"/>
      <w:lvlJc w:val="left"/>
      <w:pPr>
        <w:tabs>
          <w:tab w:val="num" w:pos="1440"/>
        </w:tabs>
        <w:ind w:left="1440" w:hanging="360"/>
      </w:pPr>
      <w:rPr>
        <w:b w:val="false"/>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9">
    <w:lvl w:ilvl="0">
      <w:start w:val="1"/>
      <w:numFmt w:val="decimal"/>
      <w:lvlText w:val="%1."/>
      <w:lvlJc w:val="left"/>
      <w:pPr>
        <w:tabs>
          <w:tab w:val="num" w:pos="360"/>
        </w:tabs>
        <w:ind w:left="283" w:hanging="283"/>
      </w:pPr>
      <w:rPr>
        <w:i w:val="false"/>
        <w:b w:val="false"/>
        <w:bCs/>
        <w:rFonts w:eastAsia="Times New Roman" w:cs="Calibri"/>
        <w:color w:val="00000A"/>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0">
    <w:lvl w:ilvl="0">
      <w:start w:val="1"/>
      <w:numFmt w:val="decimal"/>
      <w:lvlText w:val="%1."/>
      <w:lvlJc w:val="left"/>
      <w:pPr>
        <w:tabs>
          <w:tab w:val="num" w:pos="360"/>
        </w:tabs>
        <w:ind w:left="283" w:hanging="283"/>
      </w:pPr>
      <w:rPr>
        <w:dstrike w:val="false"/>
        <w:strike w:val="false"/>
        <w:i w:val="false"/>
        <w:b w:val="false"/>
        <w:bCs w:val="false"/>
        <w:rFonts w:eastAsia="Times New Roman" w:cs="Calibri"/>
        <w:color w:val="00000A"/>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1">
    <w:lvl w:ilvl="0">
      <w:start w:val="1"/>
      <w:numFmt w:val="decimal"/>
      <w:lvlText w:val="%1."/>
      <w:lvlJc w:val="left"/>
      <w:pPr>
        <w:tabs>
          <w:tab w:val="num" w:pos="360"/>
        </w:tabs>
        <w:ind w:left="283" w:hanging="283"/>
      </w:pPr>
      <w:rPr>
        <w:b w:val="false"/>
        <w:bCs/>
        <w:rFonts w:eastAsia="Times New Roman" w:cs="Calibri"/>
        <w:color w:val="00000A"/>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2">
    <w:lvl w:ilvl="0">
      <w:start w:val="1"/>
      <w:numFmt w:val="decimal"/>
      <w:lvlText w:val="%1."/>
      <w:lvlJc w:val="left"/>
      <w:pPr>
        <w:tabs>
          <w:tab w:val="num" w:pos="360"/>
        </w:tabs>
        <w:ind w:left="360" w:hanging="360"/>
      </w:pPr>
      <w:rPr>
        <w:b w:val="false"/>
        <w:bCs/>
        <w:rFonts w:eastAsia="Times New Roman" w:cs="Calibri"/>
        <w:color w:val="00000A"/>
      </w:rPr>
    </w:lvl>
    <w:lvl w:ilvl="1">
      <w:start w:val="1"/>
      <w:numFmt w:val="lowerLetter"/>
      <w:lvlText w:val="%2)"/>
      <w:lvlJc w:val="left"/>
      <w:pPr>
        <w:tabs>
          <w:tab w:val="num" w:pos="1440"/>
        </w:tabs>
        <w:ind w:left="1440" w:hanging="360"/>
      </w:pPr>
      <w:rPr>
        <w:b/>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2.%3."/>
      <w:lvlJc w:val="righ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righ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right"/>
      <w:pPr>
        <w:tabs>
          <w:tab w:val="num" w:pos="0"/>
        </w:tabs>
        <w:ind w:left="7047" w:hanging="180"/>
      </w:pPr>
    </w:lvl>
  </w:abstractNum>
  <w:abstractNum w:abstractNumId="14">
    <w:lvl w:ilvl="0">
      <w:start w:val="1"/>
      <w:numFmt w:val="decimal"/>
      <w:lvlText w:val="%1."/>
      <w:lvlJc w:val="left"/>
      <w:pPr>
        <w:tabs>
          <w:tab w:val="num" w:pos="0"/>
        </w:tabs>
        <w:ind w:left="720" w:hanging="360"/>
      </w:pPr>
      <w:rPr>
        <w:sz w:val="24"/>
        <w:b w:val="false"/>
        <w:szCs w:val="24"/>
        <w:bCs w:val="false"/>
        <w:rFonts w:eastAsia="Times New Roman" w:cs="Calibri"/>
        <w:color w:val="00000A"/>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7">
    <w:lvl w:ilvl="0">
      <w:start w:val="1"/>
      <w:numFmt w:val="decimal"/>
      <w:lvlText w:val="%1."/>
      <w:lvlJc w:val="left"/>
      <w:pPr>
        <w:tabs>
          <w:tab w:val="num" w:pos="0"/>
        </w:tabs>
        <w:ind w:left="720" w:hanging="360"/>
      </w:pPr>
      <w:rPr>
        <w:b w:val="false"/>
        <w:bCs/>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9">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lvl w:ilvl="0">
      <w:start w:val="1"/>
      <w:numFmt w:val="lowerLetter"/>
      <w:lvlText w:val="%1)"/>
      <w:lvlJc w:val="left"/>
      <w:pPr>
        <w:tabs>
          <w:tab w:val="num" w:pos="0"/>
        </w:tabs>
        <w:ind w:left="578" w:hanging="360"/>
      </w:pPr>
      <w:rPr>
        <w:rFonts w:eastAsia="Times New Roman" w:cs="Calibri"/>
      </w:rPr>
    </w:lvl>
    <w:lvl w:ilvl="1">
      <w:start w:val="1"/>
      <w:numFmt w:val="lowerLetter"/>
      <w:lvlText w:val="%2."/>
      <w:lvlJc w:val="left"/>
      <w:pPr>
        <w:tabs>
          <w:tab w:val="num" w:pos="0"/>
        </w:tabs>
        <w:ind w:left="1298" w:hanging="360"/>
      </w:pPr>
    </w:lvl>
    <w:lvl w:ilvl="2">
      <w:start w:val="1"/>
      <w:numFmt w:val="lowerRoman"/>
      <w:lvlText w:val="%2.%3."/>
      <w:lvlJc w:val="right"/>
      <w:pPr>
        <w:tabs>
          <w:tab w:val="num" w:pos="0"/>
        </w:tabs>
        <w:ind w:left="2018" w:hanging="180"/>
      </w:pPr>
    </w:lvl>
    <w:lvl w:ilvl="3">
      <w:start w:val="1"/>
      <w:numFmt w:val="decimal"/>
      <w:lvlText w:val="%2.%3.%4."/>
      <w:lvlJc w:val="left"/>
      <w:pPr>
        <w:tabs>
          <w:tab w:val="num" w:pos="0"/>
        </w:tabs>
        <w:ind w:left="2738" w:hanging="360"/>
      </w:pPr>
    </w:lvl>
    <w:lvl w:ilvl="4">
      <w:start w:val="1"/>
      <w:numFmt w:val="lowerLetter"/>
      <w:lvlText w:val="%2.%3.%4.%5."/>
      <w:lvlJc w:val="left"/>
      <w:pPr>
        <w:tabs>
          <w:tab w:val="num" w:pos="0"/>
        </w:tabs>
        <w:ind w:left="3458" w:hanging="360"/>
      </w:pPr>
    </w:lvl>
    <w:lvl w:ilvl="5">
      <w:start w:val="1"/>
      <w:numFmt w:val="lowerRoman"/>
      <w:lvlText w:val="%2.%3.%4.%5.%6."/>
      <w:lvlJc w:val="right"/>
      <w:pPr>
        <w:tabs>
          <w:tab w:val="num" w:pos="0"/>
        </w:tabs>
        <w:ind w:left="4178" w:hanging="180"/>
      </w:pPr>
    </w:lvl>
    <w:lvl w:ilvl="6">
      <w:start w:val="1"/>
      <w:numFmt w:val="decimal"/>
      <w:lvlText w:val="%2.%3.%4.%5.%6.%7."/>
      <w:lvlJc w:val="left"/>
      <w:pPr>
        <w:tabs>
          <w:tab w:val="num" w:pos="0"/>
        </w:tabs>
        <w:ind w:left="4898" w:hanging="360"/>
      </w:pPr>
    </w:lvl>
    <w:lvl w:ilvl="7">
      <w:start w:val="1"/>
      <w:numFmt w:val="lowerLetter"/>
      <w:lvlText w:val="%2.%3.%4.%5.%6.%7.%8."/>
      <w:lvlJc w:val="left"/>
      <w:pPr>
        <w:tabs>
          <w:tab w:val="num" w:pos="0"/>
        </w:tabs>
        <w:ind w:left="5618" w:hanging="360"/>
      </w:pPr>
    </w:lvl>
    <w:lvl w:ilvl="8">
      <w:start w:val="1"/>
      <w:numFmt w:val="lowerRoman"/>
      <w:lvlText w:val="%2.%3.%4.%5.%6.%7.%8.%9."/>
      <w:lvlJc w:val="right"/>
      <w:pPr>
        <w:tabs>
          <w:tab w:val="num" w:pos="0"/>
        </w:tabs>
        <w:ind w:left="6338" w:hanging="180"/>
      </w:pPr>
    </w:lvl>
  </w:abstractNum>
  <w:abstractNum w:abstractNumId="23">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4">
    <w:lvl w:ilvl="0">
      <w:start w:val="1"/>
      <w:numFmt w:val="decimal"/>
      <w:lvlText w:val="%1."/>
      <w:lvlJc w:val="left"/>
      <w:pPr>
        <w:tabs>
          <w:tab w:val="num" w:pos="0"/>
        </w:tabs>
        <w:ind w:left="720" w:hanging="360"/>
      </w:pPr>
    </w:lvl>
    <w:lvl w:ilvl="1">
      <w:start w:val="1"/>
      <w:numFmt w:val="bullet"/>
      <w:lvlText w:val=""/>
      <w:lvlJc w:val="left"/>
      <w:pPr>
        <w:tabs>
          <w:tab w:val="num" w:pos="0"/>
        </w:tabs>
        <w:ind w:left="1440" w:hanging="360"/>
      </w:pPr>
      <w:rPr>
        <w:rFonts w:ascii="Symbol" w:hAnsi="Symbol" w:cs="Symbol" w:hint="default"/>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5">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6">
    <w:lvl w:ilvl="0">
      <w:start w:val="1"/>
      <w:numFmt w:val="decimal"/>
      <w:lvlText w:val="%1."/>
      <w:lvlJc w:val="left"/>
      <w:pPr>
        <w:tabs>
          <w:tab w:val="num" w:pos="1440"/>
        </w:tabs>
        <w:ind w:left="1440" w:hanging="360"/>
      </w:pPr>
      <w:rPr/>
    </w:lvl>
    <w:lvl w:ilvl="1">
      <w:start w:val="1"/>
      <w:numFmt w:val="decimal"/>
      <w:lvlText w:val="%2."/>
      <w:lvlJc w:val="left"/>
      <w:pPr>
        <w:tabs>
          <w:tab w:val="num" w:pos="1800"/>
        </w:tabs>
        <w:ind w:left="180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520"/>
        </w:tabs>
        <w:ind w:left="2520" w:hanging="360"/>
      </w:pPr>
      <w:rPr/>
    </w:lvl>
    <w:lvl w:ilvl="4">
      <w:start w:val="1"/>
      <w:numFmt w:val="decimal"/>
      <w:lvlText w:val="%5."/>
      <w:lvlJc w:val="left"/>
      <w:pPr>
        <w:tabs>
          <w:tab w:val="num" w:pos="2880"/>
        </w:tabs>
        <w:ind w:left="2880" w:hanging="360"/>
      </w:pPr>
      <w:rPr/>
    </w:lvl>
    <w:lvl w:ilvl="5">
      <w:start w:val="1"/>
      <w:numFmt w:val="decimal"/>
      <w:lvlText w:val="%6."/>
      <w:lvlJc w:val="left"/>
      <w:pPr>
        <w:tabs>
          <w:tab w:val="num" w:pos="3240"/>
        </w:tabs>
        <w:ind w:left="3240" w:hanging="360"/>
      </w:pPr>
      <w:rPr/>
    </w:lvl>
    <w:lvl w:ilvl="6">
      <w:start w:val="1"/>
      <w:numFmt w:val="decimal"/>
      <w:lvlText w:val="%7."/>
      <w:lvlJc w:val="left"/>
      <w:pPr>
        <w:tabs>
          <w:tab w:val="num" w:pos="3600"/>
        </w:tabs>
        <w:ind w:left="3600" w:hanging="360"/>
      </w:pPr>
      <w:rPr/>
    </w:lvl>
    <w:lvl w:ilvl="7">
      <w:start w:val="1"/>
      <w:numFmt w:val="decimal"/>
      <w:lvlText w:val="%8."/>
      <w:lvlJc w:val="left"/>
      <w:pPr>
        <w:tabs>
          <w:tab w:val="num" w:pos="3960"/>
        </w:tabs>
        <w:ind w:left="3960" w:hanging="360"/>
      </w:pPr>
      <w:rPr/>
    </w:lvl>
    <w:lvl w:ilvl="8">
      <w:start w:val="1"/>
      <w:numFmt w:val="decimal"/>
      <w:lvlText w:val="%9."/>
      <w:lvlJc w:val="left"/>
      <w:pPr>
        <w:tabs>
          <w:tab w:val="num" w:pos="4320"/>
        </w:tabs>
        <w:ind w:left="432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w="http://schemas.openxmlformats.org/wordprocessingml/2006/main">
  <w:zoom w:percent="100"/>
  <w:defaultTabStop w:val="708"/>
  <w:autoHyphenation w:val="true"/>
  <w:evenAndOddHeaders/>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SimSun" w:cs="Calibri"/>
        <w:sz w:val="22"/>
        <w:szCs w:val="22"/>
        <w:lang w:val="pl-PL" w:eastAsia="en-US" w:bidi="ar-SA"/>
      </w:rPr>
    </w:rPrDefault>
    <w:pPrDefault>
      <w:pPr>
        <w:suppressAutoHyphens w:val="true"/>
        <w:spacing w:lineRule="auto" w:line="259"/>
      </w:pPr>
    </w:pPrDefault>
  </w:docDefaults>
  <w:style w:type="paragraph" w:styleId="Normal">
    <w:name w:val="Normal"/>
    <w:qFormat/>
    <w:pPr>
      <w:widowControl/>
      <w:numPr>
        <w:ilvl w:val="0"/>
        <w:numId w:val="0"/>
      </w:numPr>
      <w:suppressAutoHyphens w:val="true"/>
      <w:kinsoku w:val="true"/>
      <w:overflowPunct w:val="true"/>
      <w:autoSpaceDE w:val="true"/>
      <w:bidi w:val="0"/>
      <w:spacing w:lineRule="auto" w:line="240" w:before="0" w:after="0"/>
    </w:pPr>
    <w:rPr>
      <w:rFonts w:ascii="Calibri" w:hAnsi="Calibri" w:eastAsia="SimSun, 宋体" w:cs="Calibri"/>
      <w:color w:val="auto"/>
      <w:kern w:val="2"/>
      <w:sz w:val="24"/>
      <w:szCs w:val="24"/>
      <w:lang w:eastAsia="zh-CN" w:val="pl-PL" w:bidi="ar-SA"/>
    </w:rPr>
  </w:style>
  <w:style w:type="paragraph" w:styleId="Nagwek1">
    <w:name w:val="Heading 1"/>
    <w:basedOn w:val="Normal"/>
    <w:next w:val="Tretekstu"/>
    <w:qFormat/>
    <w:pPr>
      <w:keepNext w:val="true"/>
      <w:numPr>
        <w:ilvl w:val="0"/>
        <w:numId w:val="1"/>
      </w:numPr>
      <w:spacing w:before="240" w:after="60"/>
      <w:outlineLvl w:val="0"/>
    </w:pPr>
    <w:rPr>
      <w:rFonts w:ascii="Arial" w:hAnsi="Arial" w:cs="Arial"/>
      <w:b/>
      <w:bCs/>
      <w:kern w:val="2"/>
      <w:sz w:val="32"/>
      <w:szCs w:val="32"/>
    </w:rPr>
  </w:style>
  <w:style w:type="paragraph" w:styleId="Nagwek3">
    <w:name w:val="Heading 3"/>
    <w:basedOn w:val="Normal"/>
    <w:next w:val="Tretekstu"/>
    <w:qFormat/>
    <w:pPr>
      <w:keepNext w:val="true"/>
      <w:keepLines/>
      <w:numPr>
        <w:ilvl w:val="2"/>
        <w:numId w:val="1"/>
      </w:numPr>
      <w:spacing w:before="40" w:after="0"/>
      <w:outlineLvl w:val="2"/>
    </w:pPr>
    <w:rPr>
      <w:rFonts w:ascii="Calibri Light" w:hAnsi="Calibri Light"/>
      <w:color w:val="1F4D78"/>
    </w:rPr>
  </w:style>
  <w:style w:type="character" w:styleId="DefaultParagraphFont">
    <w:name w:val="Default Paragraph Font"/>
    <w:qFormat/>
    <w:rPr/>
  </w:style>
  <w:style w:type="character" w:styleId="Nagwek1Znak">
    <w:name w:val="Nagłówek 1 Znak"/>
    <w:basedOn w:val="DefaultParagraphFont"/>
    <w:qFormat/>
    <w:rPr>
      <w:rFonts w:ascii="Arial" w:hAnsi="Arial" w:eastAsia="Times New Roman" w:cs="Arial"/>
      <w:b/>
      <w:bCs/>
      <w:kern w:val="2"/>
      <w:sz w:val="32"/>
      <w:szCs w:val="32"/>
      <w:lang w:eastAsia="pl-PL"/>
    </w:rPr>
  </w:style>
  <w:style w:type="character" w:styleId="Nagwek3Znak">
    <w:name w:val="Nagłówek 3 Znak"/>
    <w:basedOn w:val="DefaultParagraphFont"/>
    <w:qFormat/>
    <w:rPr>
      <w:rFonts w:ascii="Calibri Light" w:hAnsi="Calibri Light"/>
      <w:color w:val="1F4D78"/>
      <w:sz w:val="24"/>
      <w:szCs w:val="24"/>
      <w:lang w:eastAsia="pl-PL"/>
    </w:rPr>
  </w:style>
  <w:style w:type="character" w:styleId="NagwekZnak">
    <w:name w:val="Nagłówek Znak"/>
    <w:basedOn w:val="DefaultParagraphFont"/>
    <w:qFormat/>
    <w:rPr>
      <w:rFonts w:ascii="Times New Roman" w:hAnsi="Times New Roman" w:eastAsia="Times New Roman" w:cs="Times New Roman"/>
      <w:sz w:val="24"/>
      <w:szCs w:val="24"/>
      <w:lang w:eastAsia="pl-PL"/>
    </w:rPr>
  </w:style>
  <w:style w:type="character" w:styleId="StopkaZnak">
    <w:name w:val="Stopka Znak"/>
    <w:basedOn w:val="DefaultParagraphFont"/>
    <w:qFormat/>
    <w:rPr>
      <w:rFonts w:ascii="Times New Roman" w:hAnsi="Times New Roman" w:eastAsia="Times New Roman" w:cs="Times New Roman"/>
      <w:sz w:val="24"/>
      <w:szCs w:val="24"/>
      <w:lang w:eastAsia="pl-PL"/>
    </w:rPr>
  </w:style>
  <w:style w:type="character" w:styleId="Pagenumber">
    <w:name w:val="page number"/>
    <w:basedOn w:val="DefaultParagraphFont"/>
    <w:qFormat/>
    <w:rPr/>
  </w:style>
  <w:style w:type="character" w:styleId="TekstprzypisudolnegoZnak">
    <w:name w:val="Tekst przypisu dolnego Znak"/>
    <w:basedOn w:val="DefaultParagraphFont"/>
    <w:qFormat/>
    <w:rPr>
      <w:rFonts w:ascii="Times New Roman" w:hAnsi="Times New Roman" w:eastAsia="Times New Roman" w:cs="Times New Roman"/>
      <w:sz w:val="20"/>
      <w:szCs w:val="20"/>
      <w:lang w:eastAsia="pl-PL"/>
    </w:rPr>
  </w:style>
  <w:style w:type="character" w:styleId="Tekstpodstawowy2Znak">
    <w:name w:val="Tekst podstawowy 2 Znak"/>
    <w:basedOn w:val="DefaultParagraphFont"/>
    <w:qFormat/>
    <w:rPr>
      <w:rFonts w:ascii="Gill Sans CE" w:hAnsi="Gill Sans CE" w:eastAsia="Times New Roman" w:cs="Arial"/>
      <w:sz w:val="24"/>
      <w:szCs w:val="24"/>
      <w:lang w:eastAsia="pl-PL"/>
    </w:rPr>
  </w:style>
  <w:style w:type="character" w:styleId="Czeinternetowe">
    <w:name w:val="Łącze internetowe"/>
    <w:basedOn w:val="DefaultParagraphFont"/>
    <w:rPr>
      <w:color w:val="0563C1"/>
      <w:u w:val="single"/>
      <w:lang w:val="zxx" w:eastAsia="zxx" w:bidi="zxx"/>
    </w:rPr>
  </w:style>
  <w:style w:type="character" w:styleId="TekstdymkaZnak">
    <w:name w:val="Tekst dymka Znak"/>
    <w:basedOn w:val="DefaultParagraphFont"/>
    <w:qFormat/>
    <w:rPr>
      <w:rFonts w:ascii="Segoe UI" w:hAnsi="Segoe UI" w:eastAsia="Times New Roman" w:cs="Segoe UI"/>
      <w:sz w:val="18"/>
      <w:szCs w:val="18"/>
      <w:lang w:eastAsia="pl-PL"/>
    </w:rPr>
  </w:style>
  <w:style w:type="character" w:styleId="AkapitzlistZnak">
    <w:name w:val="Akapit z listą Znak"/>
    <w:qFormat/>
    <w:rPr>
      <w:rFonts w:ascii="Calibri" w:hAnsi="Calibri" w:eastAsia="Calibri" w:cs="Times New Roman"/>
      <w:kern w:val="2"/>
      <w:lang w:val="en-US" w:eastAsia="zh-CN"/>
    </w:rPr>
  </w:style>
  <w:style w:type="character" w:styleId="TekstprzypisukocowegoZnak">
    <w:name w:val="Tekst przypisu końcowego Znak"/>
    <w:basedOn w:val="DefaultParagraphFont"/>
    <w:qFormat/>
    <w:rPr>
      <w:rFonts w:ascii="Times New Roman" w:hAnsi="Times New Roman" w:eastAsia="Times New Roman" w:cs="Times New Roman"/>
      <w:sz w:val="20"/>
      <w:szCs w:val="20"/>
      <w:lang w:eastAsia="pl-PL"/>
    </w:rPr>
  </w:style>
  <w:style w:type="character" w:styleId="Endnotereference">
    <w:name w:val="endnote reference"/>
    <w:basedOn w:val="DefaultParagraphFont"/>
    <w:qFormat/>
    <w:rPr>
      <w:vertAlign w:val="superscript"/>
    </w:rPr>
  </w:style>
  <w:style w:type="character" w:styleId="UnresolvedMention">
    <w:name w:val="Unresolved Mention"/>
    <w:basedOn w:val="DefaultParagraphFont"/>
    <w:qFormat/>
    <w:rPr>
      <w:color w:val="605E5C"/>
    </w:rPr>
  </w:style>
  <w:style w:type="character" w:styleId="Znakinumeracji">
    <w:name w:val="Znaki numeracji"/>
    <w:qFormat/>
    <w:rPr/>
  </w:style>
  <w:style w:type="paragraph" w:styleId="Nagwek">
    <w:name w:val="Nagłówek"/>
    <w:basedOn w:val="Normal"/>
    <w:next w:val="Tretekstu"/>
    <w:qFormat/>
    <w:pPr>
      <w:keepNext w:val="true"/>
      <w:spacing w:before="240" w:after="120"/>
    </w:pPr>
    <w:rPr>
      <w:rFonts w:ascii="Arial" w:hAnsi="Arial" w:eastAsia="Microsoft YaHei" w:cs="Lucida Sans"/>
      <w:sz w:val="28"/>
      <w:szCs w:val="28"/>
    </w:rPr>
  </w:style>
  <w:style w:type="paragraph" w:styleId="Tretekstu">
    <w:name w:val="Body Text"/>
    <w:basedOn w:val="Normal"/>
    <w:pPr>
      <w:widowControl w:val="false"/>
      <w:numPr>
        <w:ilvl w:val="0"/>
        <w:numId w:val="0"/>
      </w:numPr>
      <w:suppressAutoHyphens w:val="true"/>
      <w:spacing w:before="0" w:after="120"/>
    </w:pPr>
    <w:rPr>
      <w:rFonts w:ascii="Arial" w:hAnsi="Arial"/>
      <w:kern w:val="2"/>
      <w:sz w:val="20"/>
      <w:szCs w:val="20"/>
      <w:lang w:val="en-US" w:eastAsia="zh-CN"/>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Gwkaistopka">
    <w:name w:val="Główka i stopka"/>
    <w:basedOn w:val="Normal"/>
    <w:qFormat/>
    <w:pPr>
      <w:suppressLineNumbers/>
      <w:tabs>
        <w:tab w:val="clear" w:pos="708"/>
        <w:tab w:val="center" w:pos="4819" w:leader="none"/>
        <w:tab w:val="right" w:pos="9638" w:leader="none"/>
      </w:tabs>
    </w:pPr>
    <w:rPr/>
  </w:style>
  <w:style w:type="paragraph" w:styleId="Gwka">
    <w:name w:val="Header"/>
    <w:basedOn w:val="Normal"/>
    <w:pPr>
      <w:numPr>
        <w:ilvl w:val="0"/>
        <w:numId w:val="0"/>
      </w:numPr>
      <w:suppressLineNumbers/>
      <w:tabs>
        <w:tab w:val="clear" w:pos="708"/>
        <w:tab w:val="center" w:pos="4536" w:leader="none"/>
        <w:tab w:val="right" w:pos="9072" w:leader="none"/>
      </w:tabs>
    </w:pPr>
    <w:rPr/>
  </w:style>
  <w:style w:type="paragraph" w:styleId="Stopka">
    <w:name w:val="Footer"/>
    <w:basedOn w:val="Normal"/>
    <w:pPr>
      <w:numPr>
        <w:ilvl w:val="0"/>
        <w:numId w:val="0"/>
      </w:numPr>
      <w:suppressLineNumbers/>
      <w:tabs>
        <w:tab w:val="clear" w:pos="708"/>
        <w:tab w:val="center" w:pos="4536" w:leader="none"/>
        <w:tab w:val="right" w:pos="9072" w:leader="none"/>
      </w:tabs>
    </w:pPr>
    <w:rPr/>
  </w:style>
  <w:style w:type="paragraph" w:styleId="Default">
    <w:name w:val="Default"/>
    <w:qFormat/>
    <w:pPr>
      <w:widowControl/>
      <w:numPr>
        <w:ilvl w:val="0"/>
        <w:numId w:val="0"/>
      </w:numPr>
      <w:kinsoku w:val="true"/>
      <w:overflowPunct w:val="true"/>
      <w:autoSpaceDE w:val="true"/>
      <w:bidi w:val="0"/>
      <w:spacing w:lineRule="auto" w:line="240" w:before="0" w:after="0"/>
    </w:pPr>
    <w:rPr>
      <w:rFonts w:ascii="Arial" w:hAnsi="Arial" w:eastAsia="Times New Roman" w:cs="Arial"/>
      <w:color w:val="000000"/>
      <w:sz w:val="24"/>
      <w:szCs w:val="24"/>
      <w:lang w:eastAsia="pl-PL" w:val="pl-PL" w:bidi="ar-SA"/>
    </w:rPr>
  </w:style>
  <w:style w:type="paragraph" w:styleId="NormalWeb">
    <w:name w:val="Normal (Web)"/>
    <w:basedOn w:val="Default"/>
    <w:qFormat/>
    <w:pPr>
      <w:numPr>
        <w:ilvl w:val="0"/>
        <w:numId w:val="0"/>
      </w:numPr>
    </w:pPr>
    <w:rPr>
      <w:color w:val="00000A"/>
    </w:rPr>
  </w:style>
  <w:style w:type="paragraph" w:styleId="NoSpacing">
    <w:name w:val="No Spacing"/>
    <w:qFormat/>
    <w:pPr>
      <w:widowControl/>
      <w:numPr>
        <w:ilvl w:val="0"/>
        <w:numId w:val="0"/>
      </w:numPr>
      <w:kinsoku w:val="true"/>
      <w:overflowPunct w:val="true"/>
      <w:autoSpaceDE w:val="true"/>
      <w:bidi w:val="0"/>
      <w:spacing w:lineRule="auto" w:line="240" w:before="0" w:after="0"/>
    </w:pPr>
    <w:rPr>
      <w:rFonts w:ascii="Times New Roman" w:hAnsi="Times New Roman" w:eastAsia="Times New Roman" w:cs="Times New Roman"/>
      <w:color w:val="auto"/>
      <w:sz w:val="24"/>
      <w:szCs w:val="24"/>
      <w:lang w:eastAsia="pl-PL" w:val="pl-PL" w:bidi="ar-SA"/>
    </w:rPr>
  </w:style>
  <w:style w:type="paragraph" w:styleId="ListParagraph">
    <w:name w:val="List Paragraph"/>
    <w:basedOn w:val="Normal"/>
    <w:qFormat/>
    <w:pPr>
      <w:numPr>
        <w:ilvl w:val="0"/>
        <w:numId w:val="0"/>
      </w:numPr>
      <w:spacing w:lineRule="auto" w:line="276" w:before="0" w:after="200"/>
      <w:ind w:left="720" w:right="0" w:hanging="0"/>
    </w:pPr>
    <w:rPr>
      <w:rFonts w:ascii="Calibri" w:hAnsi="Calibri" w:eastAsia="Calibri"/>
      <w:sz w:val="22"/>
      <w:szCs w:val="22"/>
      <w:lang w:eastAsia="en-US"/>
    </w:rPr>
  </w:style>
  <w:style w:type="paragraph" w:styleId="Footnotetext">
    <w:name w:val="footnote text"/>
    <w:basedOn w:val="Normal"/>
    <w:qFormat/>
    <w:pPr>
      <w:numPr>
        <w:ilvl w:val="0"/>
        <w:numId w:val="0"/>
      </w:numPr>
    </w:pPr>
    <w:rPr>
      <w:sz w:val="20"/>
      <w:szCs w:val="20"/>
    </w:rPr>
  </w:style>
  <w:style w:type="paragraph" w:styleId="BodyText2">
    <w:name w:val="Body Text 2"/>
    <w:basedOn w:val="Normal"/>
    <w:qFormat/>
    <w:pPr>
      <w:numPr>
        <w:ilvl w:val="0"/>
        <w:numId w:val="0"/>
      </w:numPr>
      <w:spacing w:lineRule="auto" w:line="480" w:before="0" w:after="120"/>
    </w:pPr>
    <w:rPr>
      <w:rFonts w:ascii="Gill Sans CE" w:hAnsi="Gill Sans CE" w:cs="Arial"/>
    </w:rPr>
  </w:style>
  <w:style w:type="paragraph" w:styleId="BalloonText">
    <w:name w:val="Balloon Text"/>
    <w:basedOn w:val="Normal"/>
    <w:qFormat/>
    <w:pPr>
      <w:numPr>
        <w:ilvl w:val="0"/>
        <w:numId w:val="0"/>
      </w:numPr>
    </w:pPr>
    <w:rPr>
      <w:rFonts w:ascii="Segoe UI" w:hAnsi="Segoe UI" w:cs="Segoe UI"/>
      <w:sz w:val="18"/>
      <w:szCs w:val="18"/>
    </w:rPr>
  </w:style>
  <w:style w:type="paragraph" w:styleId="Akapitzlist2">
    <w:name w:val="Akapit z listą2"/>
    <w:basedOn w:val="Normal"/>
    <w:qFormat/>
    <w:pPr>
      <w:numPr>
        <w:ilvl w:val="0"/>
        <w:numId w:val="0"/>
      </w:numPr>
      <w:suppressAutoHyphens w:val="true"/>
      <w:ind w:left="720" w:right="0" w:hanging="0"/>
    </w:pPr>
    <w:rPr>
      <w:rFonts w:ascii="Calibri" w:hAnsi="Calibri" w:eastAsia="Calibri"/>
      <w:kern w:val="2"/>
      <w:sz w:val="22"/>
      <w:szCs w:val="22"/>
      <w:lang w:val="en-US" w:eastAsia="zh-CN"/>
    </w:rPr>
  </w:style>
  <w:style w:type="paragraph" w:styleId="Endnotetext">
    <w:name w:val="endnote text"/>
    <w:basedOn w:val="Normal"/>
    <w:qFormat/>
    <w:pPr>
      <w:numPr>
        <w:ilvl w:val="0"/>
        <w:numId w:val="0"/>
      </w:numPr>
    </w:pPr>
    <w:rPr>
      <w:sz w:val="20"/>
      <w:szCs w:val="20"/>
    </w:rPr>
  </w:style>
  <w:style w:type="paragraph" w:styleId="Zawartoramki">
    <w:name w:val="Zawartość ramki"/>
    <w:basedOn w:val="Tretekstu"/>
    <w:qFormat/>
    <w:pPr/>
    <w:rPr/>
  </w:style>
  <w:style w:type="paragraph" w:styleId="Zawartotabeli">
    <w:name w:val="Zawartość tabeli"/>
    <w:basedOn w:val="Normal"/>
    <w:qFormat/>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od@radomszczanski.pl"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274</TotalTime>
  <Application>LibreOffice/7.3.0.3$Windows_X86_64 LibreOffice_project/0f246aa12d0eee4a0f7adcefbf7c878fc2238db3</Application>
  <AppVersion>15.0000</AppVersion>
  <Pages>15</Pages>
  <Words>4067</Words>
  <CharactersWithSpaces>31067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2024-01-05T11:36:00Z</dcterms:created>
  <dc:creator>Edyta</dc:creator>
  <dc:description/>
  <dc:language>pl-PL</dc:language>
  <cp:lastModifiedBy/>
  <cp:lastPrinted>2024-11-15T12:53:17Z</cp:lastPrinted>
  <dcterms:modified xsi:type="dcterms:W3CDTF">2024-11-18T09:34:41Z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