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D1D" w:rsidRDefault="006B6E11">
      <w:pPr>
        <w:ind w:hanging="1077"/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 xml:space="preserve">KLAUZULA INFORMACYJNA </w:t>
      </w:r>
    </w:p>
    <w:p w:rsidR="00F43D1D" w:rsidRDefault="00F43D1D">
      <w:pPr>
        <w:jc w:val="center"/>
        <w:rPr>
          <w:b/>
          <w:bCs/>
        </w:rPr>
      </w:pPr>
    </w:p>
    <w:p w:rsidR="00F43D1D" w:rsidRDefault="006B6E11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Zgodnie z</w:t>
      </w:r>
      <w:r>
        <w:rPr>
          <w:rFonts w:cs="Times New Roman"/>
          <w:sz w:val="22"/>
          <w:szCs w:val="22"/>
        </w:rPr>
        <w:t xml:space="preserve"> art. 13 rozporządzenia Parlamentu Europejskiego i Rady (UE) 2016/679</w:t>
      </w:r>
      <w:r>
        <w:rPr>
          <w:rFonts w:cs="Times New Roman"/>
          <w:sz w:val="22"/>
          <w:szCs w:val="22"/>
        </w:rPr>
        <w:br/>
        <w:t xml:space="preserve">w sprawie ochrony osób fizycznych w związku z przetwarzaniem danych osobowych i w sprawie swobodnego przepływu takich danych oraz uchylenia dyrektywy </w:t>
      </w:r>
      <w:r>
        <w:rPr>
          <w:rFonts w:cs="Times New Roman"/>
          <w:sz w:val="22"/>
          <w:szCs w:val="22"/>
        </w:rPr>
        <w:t>95/46/WE (ogólne rozporządzenie</w:t>
      </w:r>
      <w:r>
        <w:rPr>
          <w:rFonts w:cs="Times New Roman"/>
          <w:sz w:val="22"/>
          <w:szCs w:val="22"/>
        </w:rPr>
        <w:br/>
        <w:t>o ochronie danych) (Dz. Urz. UE L nr 119 z 4.05.2016 r.) - dalej RODO, informujemy, że:</w:t>
      </w:r>
    </w:p>
    <w:p w:rsidR="00F43D1D" w:rsidRDefault="00F43D1D">
      <w:pPr>
        <w:jc w:val="both"/>
        <w:rPr>
          <w:rFonts w:cs="Times New Roman"/>
          <w:sz w:val="22"/>
          <w:szCs w:val="22"/>
        </w:rPr>
      </w:pPr>
    </w:p>
    <w:p w:rsidR="00F43D1D" w:rsidRDefault="006B6E11">
      <w:pPr>
        <w:numPr>
          <w:ilvl w:val="0"/>
          <w:numId w:val="1"/>
        </w:numPr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Administratorem Pana/Pani danych osobowych jest Dyrektor Domu Pomocy Społecznej dla Dzieci i Młodzieży Niepełnosprawnych w Mrągowie, ul</w:t>
      </w:r>
      <w:r>
        <w:rPr>
          <w:rFonts w:cs="Times New Roman"/>
          <w:sz w:val="22"/>
          <w:szCs w:val="22"/>
        </w:rPr>
        <w:t>. Młodkowskiego 19 11-700 Mrągowo.</w:t>
      </w:r>
    </w:p>
    <w:p w:rsidR="00F43D1D" w:rsidRDefault="006B6E1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rFonts w:cs="Times New Roman"/>
          <w:sz w:val="22"/>
          <w:szCs w:val="22"/>
        </w:rPr>
        <w:t xml:space="preserve">Osobą udzielającą wyjaśnień w zakresie ochrony danych osobowych jest Inspektor Ochrony Danych, z którym można kontaktować się </w:t>
      </w:r>
      <w:r>
        <w:rPr>
          <w:rFonts w:cs="Times New Roman"/>
          <w:sz w:val="22"/>
          <w:szCs w:val="22"/>
          <w:lang w:val="en-US"/>
        </w:rPr>
        <w:t>e-mail: iod@powiat.mragowo.pl</w:t>
      </w:r>
    </w:p>
    <w:p w:rsidR="00F43D1D" w:rsidRDefault="006B6E11">
      <w:pPr>
        <w:numPr>
          <w:ilvl w:val="0"/>
          <w:numId w:val="1"/>
        </w:numPr>
        <w:tabs>
          <w:tab w:val="clear" w:pos="720"/>
          <w:tab w:val="left" w:pos="360"/>
        </w:tabs>
        <w:jc w:val="both"/>
      </w:pPr>
      <w:r>
        <w:rPr>
          <w:rFonts w:eastAsia="Arial" w:cs="Arial"/>
          <w:color w:val="000000"/>
          <w:sz w:val="22"/>
          <w:szCs w:val="22"/>
        </w:rPr>
        <w:t>Celem przetwarzania Pana/Pani danych osobowych jest nabór kandyda</w:t>
      </w:r>
      <w:r>
        <w:rPr>
          <w:rFonts w:eastAsia="Arial" w:cs="Arial"/>
          <w:color w:val="000000"/>
          <w:sz w:val="22"/>
          <w:szCs w:val="22"/>
        </w:rPr>
        <w:t>tów na wolne stanowisko pracy.</w:t>
      </w:r>
    </w:p>
    <w:p w:rsidR="00F43D1D" w:rsidRDefault="006B6E11">
      <w:pPr>
        <w:numPr>
          <w:ilvl w:val="0"/>
          <w:numId w:val="1"/>
        </w:numPr>
        <w:tabs>
          <w:tab w:val="clear" w:pos="720"/>
          <w:tab w:val="left" w:pos="360"/>
        </w:tabs>
        <w:jc w:val="both"/>
      </w:pPr>
      <w:r>
        <w:rPr>
          <w:rFonts w:eastAsia="Arial" w:cs="Tahoma"/>
          <w:color w:val="000000"/>
          <w:sz w:val="22"/>
          <w:szCs w:val="22"/>
        </w:rPr>
        <w:t>Pana/Pani dane osobowe przetwarzane będą na podstawie art. 6 ust. 1 lit. c RODO</w:t>
      </w:r>
      <w:r>
        <w:rPr>
          <w:rFonts w:eastAsia="Arial" w:cs="Tahoma"/>
          <w:color w:val="000000"/>
          <w:sz w:val="22"/>
          <w:szCs w:val="22"/>
        </w:rPr>
        <w:br/>
        <w:t xml:space="preserve">w związku z obowiązującymi </w:t>
      </w:r>
      <w:r>
        <w:rPr>
          <w:rFonts w:eastAsia="Arial" w:cs="Arial"/>
          <w:color w:val="000000"/>
          <w:sz w:val="22"/>
          <w:szCs w:val="22"/>
        </w:rPr>
        <w:t>przepisami prawa krajowego (tj. ustawa z dnia 26 czerwca 1974 r. Kodeks pracy, ustawa z dnia 21 listopada 2008 r. o pr</w:t>
      </w:r>
      <w:r>
        <w:rPr>
          <w:rFonts w:eastAsia="Arial" w:cs="Arial"/>
          <w:color w:val="000000"/>
          <w:sz w:val="22"/>
          <w:szCs w:val="22"/>
        </w:rPr>
        <w:t xml:space="preserve">acownikach samorządowych) oraz </w:t>
      </w:r>
      <w:r>
        <w:rPr>
          <w:rStyle w:val="Mocnowyrniony"/>
          <w:rFonts w:eastAsia="Arial" w:cs="Arial"/>
          <w:b w:val="0"/>
          <w:bCs w:val="0"/>
          <w:color w:val="000000"/>
          <w:sz w:val="22"/>
          <w:szCs w:val="22"/>
        </w:rPr>
        <w:t>na podstawie art. 6 ust. 1 lit. a RODO (to jest na podstawie Pana/Pani zgody)</w:t>
      </w:r>
    </w:p>
    <w:p w:rsidR="00F43D1D" w:rsidRDefault="006B6E11">
      <w:pPr>
        <w:numPr>
          <w:ilvl w:val="0"/>
          <w:numId w:val="1"/>
        </w:numPr>
        <w:tabs>
          <w:tab w:val="clear" w:pos="720"/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Pana/Pani dane osobowych nie będą przekazywane innym odbiorcom.</w:t>
      </w:r>
    </w:p>
    <w:p w:rsidR="00F43D1D" w:rsidRDefault="006B6E11">
      <w:pPr>
        <w:numPr>
          <w:ilvl w:val="0"/>
          <w:numId w:val="1"/>
        </w:numPr>
        <w:tabs>
          <w:tab w:val="clear" w:pos="720"/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Pana/Pani dane osobowe nie będą przekazane do państwa trzeciego lub organizacji mię</w:t>
      </w:r>
      <w:r>
        <w:rPr>
          <w:sz w:val="22"/>
          <w:szCs w:val="22"/>
        </w:rPr>
        <w:t>dzynarodowej,</w:t>
      </w:r>
    </w:p>
    <w:p w:rsidR="00F43D1D" w:rsidRDefault="006B6E11">
      <w:pPr>
        <w:numPr>
          <w:ilvl w:val="0"/>
          <w:numId w:val="1"/>
        </w:numPr>
        <w:tabs>
          <w:tab w:val="clear" w:pos="720"/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Pana/Pani dane osobowe będą przechowywane przez okres ustalony na podstawie przepisów archiwalnych [ustawa z dnia 14 lipca 1983r. o narodowym zasobie archiwalnym i archiwach</w:t>
      </w:r>
      <w:r>
        <w:rPr>
          <w:sz w:val="22"/>
          <w:szCs w:val="22"/>
        </w:rPr>
        <w:br/>
        <w:t>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>. Dz. U. 2018, poz. 217) i akty wykonawcze do tej ustawy]</w:t>
      </w:r>
    </w:p>
    <w:p w:rsidR="00F43D1D" w:rsidRDefault="006B6E11">
      <w:pPr>
        <w:numPr>
          <w:ilvl w:val="0"/>
          <w:numId w:val="1"/>
        </w:numPr>
        <w:jc w:val="both"/>
        <w:rPr>
          <w:rFonts w:cs="Tahoma"/>
          <w:sz w:val="22"/>
          <w:szCs w:val="22"/>
        </w:rPr>
      </w:pPr>
      <w:r>
        <w:rPr>
          <w:rFonts w:cs="Tahoma"/>
          <w:sz w:val="22"/>
          <w:szCs w:val="22"/>
        </w:rPr>
        <w:t>Posiad</w:t>
      </w:r>
      <w:r>
        <w:rPr>
          <w:rFonts w:cs="Tahoma"/>
          <w:sz w:val="22"/>
          <w:szCs w:val="22"/>
        </w:rPr>
        <w:t>a Pan/Pani prawo do:</w:t>
      </w:r>
    </w:p>
    <w:p w:rsidR="00F43D1D" w:rsidRDefault="006B6E11">
      <w:pPr>
        <w:numPr>
          <w:ilvl w:val="0"/>
          <w:numId w:val="2"/>
        </w:numPr>
        <w:jc w:val="both"/>
        <w:rPr>
          <w:rFonts w:cs="Tahoma"/>
          <w:sz w:val="22"/>
          <w:szCs w:val="22"/>
        </w:rPr>
      </w:pPr>
      <w:r>
        <w:rPr>
          <w:rFonts w:cs="Tahoma"/>
          <w:sz w:val="22"/>
          <w:szCs w:val="22"/>
        </w:rPr>
        <w:t>na podstawie art. 15 RODO prawo dostępu do danych osobowych</w:t>
      </w:r>
    </w:p>
    <w:p w:rsidR="00F43D1D" w:rsidRDefault="006B6E11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rFonts w:cs="Tahoma"/>
          <w:sz w:val="22"/>
          <w:szCs w:val="22"/>
        </w:rPr>
        <w:t>na podstawie art. 16 RODO prawo do sprostowania danych osobowych;</w:t>
      </w:r>
    </w:p>
    <w:p w:rsidR="00F43D1D" w:rsidRDefault="006B6E11">
      <w:pPr>
        <w:numPr>
          <w:ilvl w:val="0"/>
          <w:numId w:val="2"/>
        </w:numPr>
        <w:jc w:val="both"/>
        <w:rPr>
          <w:rFonts w:cs="Tahoma"/>
          <w:sz w:val="22"/>
          <w:szCs w:val="22"/>
        </w:rPr>
      </w:pPr>
      <w:r>
        <w:rPr>
          <w:rFonts w:cs="Tahoma"/>
          <w:sz w:val="22"/>
          <w:szCs w:val="22"/>
        </w:rPr>
        <w:t>na podstawie art. 17 RODO prawo do usunięcia danych osobowych zastrzeżeniem przypadków, o których mowa w art.</w:t>
      </w:r>
      <w:r>
        <w:rPr>
          <w:rFonts w:cs="Tahoma"/>
          <w:sz w:val="22"/>
          <w:szCs w:val="22"/>
        </w:rPr>
        <w:t xml:space="preserve"> 17 ust. 3 RODO</w:t>
      </w:r>
    </w:p>
    <w:p w:rsidR="00F43D1D" w:rsidRDefault="006B6E11">
      <w:pPr>
        <w:numPr>
          <w:ilvl w:val="0"/>
          <w:numId w:val="2"/>
        </w:numPr>
        <w:jc w:val="both"/>
        <w:rPr>
          <w:rFonts w:cs="Tahoma"/>
          <w:sz w:val="22"/>
          <w:szCs w:val="22"/>
        </w:rPr>
      </w:pPr>
      <w:r>
        <w:rPr>
          <w:rFonts w:cs="Tahoma"/>
          <w:sz w:val="22"/>
          <w:szCs w:val="22"/>
        </w:rPr>
        <w:t>na podstawie art. 18 RODO prawo żądania od administratora ograniczenia przetwarzania danych osobowych z zastrzeżeniem przypadków, o których mowa w art. 18 ust. 2 RODO</w:t>
      </w:r>
    </w:p>
    <w:p w:rsidR="00F43D1D" w:rsidRDefault="006B6E11">
      <w:pPr>
        <w:numPr>
          <w:ilvl w:val="0"/>
          <w:numId w:val="2"/>
        </w:numPr>
        <w:jc w:val="both"/>
        <w:rPr>
          <w:rFonts w:cs="Tahoma"/>
          <w:sz w:val="22"/>
          <w:szCs w:val="22"/>
        </w:rPr>
      </w:pPr>
      <w:r>
        <w:rPr>
          <w:rFonts w:cs="Tahoma"/>
          <w:sz w:val="22"/>
          <w:szCs w:val="22"/>
        </w:rPr>
        <w:t>na podstawie art. 20 RODO prawo do przenoszenia danych osobowych z zastrz</w:t>
      </w:r>
      <w:r>
        <w:rPr>
          <w:rFonts w:cs="Tahoma"/>
          <w:sz w:val="22"/>
          <w:szCs w:val="22"/>
        </w:rPr>
        <w:t>eżeniem przypadków, o których mowa w art. 20 ust. 3 RODO</w:t>
      </w:r>
    </w:p>
    <w:p w:rsidR="00F43D1D" w:rsidRDefault="006B6E11">
      <w:pPr>
        <w:numPr>
          <w:ilvl w:val="0"/>
          <w:numId w:val="2"/>
        </w:numPr>
        <w:jc w:val="both"/>
        <w:rPr>
          <w:rFonts w:cs="Tahoma"/>
          <w:sz w:val="22"/>
          <w:szCs w:val="22"/>
        </w:rPr>
      </w:pPr>
      <w:r>
        <w:rPr>
          <w:rFonts w:cs="Tahoma"/>
          <w:sz w:val="22"/>
          <w:szCs w:val="22"/>
        </w:rPr>
        <w:t>na podstawie art. 21 RODO prawo sprzeciwu, z zastrzeżeniem przypadków, o których mowa</w:t>
      </w:r>
      <w:r>
        <w:rPr>
          <w:rFonts w:cs="Tahoma"/>
          <w:sz w:val="22"/>
          <w:szCs w:val="22"/>
        </w:rPr>
        <w:br/>
        <w:t>w art. 89 RODO</w:t>
      </w:r>
    </w:p>
    <w:p w:rsidR="00F43D1D" w:rsidRDefault="006B6E11">
      <w:pPr>
        <w:numPr>
          <w:ilvl w:val="0"/>
          <w:numId w:val="1"/>
        </w:numPr>
        <w:tabs>
          <w:tab w:val="clear" w:pos="720"/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Jeżeli przetwarzanie Pana/Pani danych osobowych odbywa się na podstawie zgody ma Pan/Pani prawo do</w:t>
      </w:r>
      <w:r>
        <w:rPr>
          <w:sz w:val="22"/>
          <w:szCs w:val="22"/>
        </w:rPr>
        <w:t xml:space="preserve"> cofnięcia udzielonej zgody w dowolnym momencie bez wpływu na zgodność z prawem przetwarzania, którego dokonano na podstawie zgody przed jej cofnięciem</w:t>
      </w:r>
    </w:p>
    <w:p w:rsidR="00F43D1D" w:rsidRDefault="006B6E11">
      <w:pPr>
        <w:numPr>
          <w:ilvl w:val="0"/>
          <w:numId w:val="1"/>
        </w:numPr>
        <w:tabs>
          <w:tab w:val="clear" w:pos="720"/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Ma Pan/Pani</w:t>
      </w:r>
      <w:r>
        <w:rPr>
          <w:sz w:val="22"/>
          <w:szCs w:val="22"/>
          <w:vertAlign w:val="superscript"/>
        </w:rPr>
        <w:t xml:space="preserve"> </w:t>
      </w:r>
      <w:r>
        <w:rPr>
          <w:sz w:val="22"/>
          <w:szCs w:val="22"/>
        </w:rPr>
        <w:t>prawo do wniesienia skargi do organu nadzorczego (tj. Prezesa Urzędu Ochrony Danych Osobowyc</w:t>
      </w:r>
      <w:r>
        <w:rPr>
          <w:sz w:val="22"/>
          <w:szCs w:val="22"/>
        </w:rPr>
        <w:t>h ul. Stawki 2, 00-193 Warszawa),</w:t>
      </w:r>
    </w:p>
    <w:p w:rsidR="00F43D1D" w:rsidRDefault="006B6E11">
      <w:pPr>
        <w:numPr>
          <w:ilvl w:val="0"/>
          <w:numId w:val="1"/>
        </w:numPr>
        <w:tabs>
          <w:tab w:val="clear" w:pos="720"/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Podanie Pan/Pani</w:t>
      </w:r>
      <w:r>
        <w:rPr>
          <w:sz w:val="22"/>
          <w:szCs w:val="22"/>
          <w:vertAlign w:val="superscript"/>
        </w:rPr>
        <w:t xml:space="preserve"> </w:t>
      </w:r>
      <w:r>
        <w:rPr>
          <w:sz w:val="22"/>
          <w:szCs w:val="22"/>
        </w:rPr>
        <w:t>danych osobowych jest wymogiem ustawowym oraz jest Pan/Pani zobowiązana do ich podania. Konsekwencją nie podania ww. danych osobowych jest brak możliwości osiągnięcia celu wskazanego w punkcie 3.</w:t>
      </w:r>
    </w:p>
    <w:p w:rsidR="00F43D1D" w:rsidRDefault="006B6E11">
      <w:pPr>
        <w:numPr>
          <w:ilvl w:val="0"/>
          <w:numId w:val="1"/>
        </w:numPr>
        <w:tabs>
          <w:tab w:val="clear" w:pos="720"/>
          <w:tab w:val="left" w:pos="360"/>
        </w:tabs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Pan/Pani </w:t>
      </w:r>
      <w:r>
        <w:rPr>
          <w:rFonts w:cs="Times New Roman"/>
          <w:sz w:val="22"/>
          <w:szCs w:val="22"/>
        </w:rPr>
        <w:t>dane osobowe nie będą podlegały zautomatyzowanemu podejmowaniu decyzji,</w:t>
      </w:r>
      <w:r>
        <w:rPr>
          <w:rFonts w:cs="Times New Roman"/>
          <w:sz w:val="22"/>
          <w:szCs w:val="22"/>
        </w:rPr>
        <w:br/>
        <w:t>w tym profilowaniu.</w:t>
      </w:r>
    </w:p>
    <w:p w:rsidR="00F43D1D" w:rsidRDefault="00F43D1D">
      <w:pPr>
        <w:jc w:val="both"/>
      </w:pPr>
    </w:p>
    <w:p w:rsidR="00F43D1D" w:rsidRDefault="006B6E11">
      <w:pPr>
        <w:jc w:val="both"/>
      </w:pPr>
      <w:r>
        <w:tab/>
      </w:r>
      <w:r>
        <w:rPr>
          <w:sz w:val="22"/>
          <w:szCs w:val="22"/>
        </w:rPr>
        <w:t xml:space="preserve">Oświadczam, iż zapoznałem się z klauzulą informacyjną na temat przetwarzania moich danych osobowych; </w:t>
      </w:r>
    </w:p>
    <w:p w:rsidR="00F43D1D" w:rsidRDefault="006B6E11">
      <w:pPr>
        <w:jc w:val="both"/>
      </w:pPr>
      <w:r>
        <w:rPr>
          <w:sz w:val="22"/>
          <w:szCs w:val="22"/>
        </w:rPr>
        <w:tab/>
        <w:t>Oświadczam, iż w</w:t>
      </w:r>
      <w:r>
        <w:rPr>
          <w:sz w:val="22"/>
          <w:szCs w:val="22"/>
          <w:lang w:eastAsia="ar-SA"/>
        </w:rPr>
        <w:t xml:space="preserve">yrażam zgodę na przetwarzanie moich danych osobowych zawartych w ofercie pracy dla potrzeb niezbędnych do realizacji procesu rekrutacji zgodnie z </w:t>
      </w:r>
      <w:r>
        <w:rPr>
          <w:rFonts w:cs="Times New Roman"/>
          <w:sz w:val="22"/>
          <w:szCs w:val="22"/>
          <w:lang w:eastAsia="ar-SA"/>
        </w:rPr>
        <w:t>rozporządzeniem Parlamentu Europejskiego i Rady (UE) 2016/679 w sprawie ochrony osób fizycznych w związku z pr</w:t>
      </w:r>
      <w:r>
        <w:rPr>
          <w:rFonts w:cs="Times New Roman"/>
          <w:sz w:val="22"/>
          <w:szCs w:val="22"/>
          <w:lang w:eastAsia="ar-SA"/>
        </w:rPr>
        <w:t>zetwarzaniem danych osobowych i w sprawie swobodnego przepływu takich danych oraz uchylenia dyrektywy 95/46/WE (ogólne rozporządzenie o ochronie danych) (Dz. Urz. UE L nr 119 z 4.05.2016 r.).</w:t>
      </w:r>
    </w:p>
    <w:p w:rsidR="00F43D1D" w:rsidRDefault="00F43D1D">
      <w:pPr>
        <w:jc w:val="both"/>
        <w:rPr>
          <w:rFonts w:cs="Times New Roman"/>
          <w:sz w:val="22"/>
          <w:szCs w:val="22"/>
          <w:lang w:eastAsia="ar-SA"/>
        </w:rPr>
      </w:pPr>
    </w:p>
    <w:p w:rsidR="00F43D1D" w:rsidRDefault="00F43D1D">
      <w:pPr>
        <w:jc w:val="both"/>
        <w:rPr>
          <w:rFonts w:cs="Times New Roman"/>
          <w:sz w:val="22"/>
          <w:szCs w:val="22"/>
          <w:lang w:eastAsia="ar-SA"/>
        </w:rPr>
      </w:pPr>
    </w:p>
    <w:p w:rsidR="00F43D1D" w:rsidRDefault="006B6E11">
      <w:pPr>
        <w:jc w:val="both"/>
        <w:rPr>
          <w:rFonts w:cs="Times New Roman"/>
          <w:sz w:val="22"/>
          <w:szCs w:val="22"/>
          <w:lang w:eastAsia="ar-SA"/>
        </w:rPr>
      </w:pPr>
      <w:r>
        <w:rPr>
          <w:rFonts w:cs="Times New Roman"/>
          <w:sz w:val="22"/>
          <w:szCs w:val="22"/>
          <w:lang w:eastAsia="ar-SA"/>
        </w:rPr>
        <w:tab/>
      </w:r>
      <w:r>
        <w:rPr>
          <w:rFonts w:cs="Times New Roman"/>
          <w:sz w:val="22"/>
          <w:szCs w:val="22"/>
          <w:lang w:eastAsia="ar-SA"/>
        </w:rPr>
        <w:tab/>
      </w:r>
      <w:r>
        <w:rPr>
          <w:rFonts w:cs="Times New Roman"/>
          <w:sz w:val="22"/>
          <w:szCs w:val="22"/>
          <w:lang w:eastAsia="ar-SA"/>
        </w:rPr>
        <w:tab/>
      </w:r>
      <w:r>
        <w:rPr>
          <w:rFonts w:cs="Times New Roman"/>
          <w:sz w:val="22"/>
          <w:szCs w:val="22"/>
          <w:lang w:eastAsia="ar-SA"/>
        </w:rPr>
        <w:tab/>
      </w:r>
      <w:r>
        <w:rPr>
          <w:rFonts w:cs="Times New Roman"/>
          <w:sz w:val="22"/>
          <w:szCs w:val="22"/>
          <w:lang w:eastAsia="ar-SA"/>
        </w:rPr>
        <w:tab/>
      </w:r>
      <w:r>
        <w:rPr>
          <w:rFonts w:cs="Times New Roman"/>
          <w:sz w:val="22"/>
          <w:szCs w:val="22"/>
          <w:lang w:eastAsia="ar-SA"/>
        </w:rPr>
        <w:tab/>
      </w:r>
      <w:r>
        <w:rPr>
          <w:rFonts w:cs="Times New Roman"/>
          <w:sz w:val="22"/>
          <w:szCs w:val="22"/>
          <w:lang w:eastAsia="ar-SA"/>
        </w:rPr>
        <w:tab/>
      </w:r>
      <w:r>
        <w:rPr>
          <w:rFonts w:cs="Times New Roman"/>
          <w:sz w:val="22"/>
          <w:szCs w:val="22"/>
          <w:lang w:eastAsia="ar-SA"/>
        </w:rPr>
        <w:tab/>
      </w:r>
      <w:r>
        <w:rPr>
          <w:rFonts w:cs="Times New Roman"/>
          <w:sz w:val="22"/>
          <w:szCs w:val="22"/>
          <w:lang w:eastAsia="ar-SA"/>
        </w:rPr>
        <w:tab/>
        <w:t>…................................................</w:t>
      </w:r>
    </w:p>
    <w:p w:rsidR="00F43D1D" w:rsidRDefault="006B6E11">
      <w:pPr>
        <w:jc w:val="both"/>
      </w:pPr>
      <w:r>
        <w:rPr>
          <w:rFonts w:cs="Times New Roman"/>
          <w:sz w:val="22"/>
          <w:szCs w:val="22"/>
          <w:lang w:eastAsia="ar-SA"/>
        </w:rPr>
        <w:tab/>
      </w:r>
      <w:r>
        <w:rPr>
          <w:rFonts w:cs="Times New Roman"/>
          <w:sz w:val="22"/>
          <w:szCs w:val="22"/>
          <w:lang w:eastAsia="ar-SA"/>
        </w:rPr>
        <w:tab/>
      </w:r>
      <w:r>
        <w:rPr>
          <w:rFonts w:cs="Times New Roman"/>
          <w:sz w:val="22"/>
          <w:szCs w:val="22"/>
          <w:lang w:eastAsia="ar-SA"/>
        </w:rPr>
        <w:tab/>
      </w:r>
      <w:r>
        <w:rPr>
          <w:rFonts w:cs="Times New Roman"/>
          <w:sz w:val="22"/>
          <w:szCs w:val="22"/>
          <w:lang w:eastAsia="ar-SA"/>
        </w:rPr>
        <w:tab/>
      </w:r>
      <w:r>
        <w:rPr>
          <w:rFonts w:cs="Times New Roman"/>
          <w:sz w:val="22"/>
          <w:szCs w:val="22"/>
          <w:lang w:eastAsia="ar-SA"/>
        </w:rPr>
        <w:tab/>
      </w:r>
      <w:r>
        <w:rPr>
          <w:rFonts w:cs="Times New Roman"/>
          <w:sz w:val="22"/>
          <w:szCs w:val="22"/>
          <w:lang w:eastAsia="ar-SA"/>
        </w:rPr>
        <w:tab/>
      </w:r>
      <w:r>
        <w:rPr>
          <w:rFonts w:cs="Times New Roman"/>
          <w:sz w:val="22"/>
          <w:szCs w:val="22"/>
          <w:lang w:eastAsia="ar-SA"/>
        </w:rPr>
        <w:tab/>
      </w:r>
      <w:r>
        <w:rPr>
          <w:rFonts w:cs="Times New Roman"/>
          <w:sz w:val="22"/>
          <w:szCs w:val="22"/>
          <w:lang w:eastAsia="ar-SA"/>
        </w:rPr>
        <w:tab/>
      </w:r>
      <w:r>
        <w:rPr>
          <w:rFonts w:cs="Times New Roman"/>
          <w:sz w:val="22"/>
          <w:szCs w:val="22"/>
          <w:lang w:eastAsia="ar-SA"/>
        </w:rPr>
        <w:tab/>
      </w:r>
      <w:r>
        <w:rPr>
          <w:rFonts w:cs="Times New Roman"/>
          <w:sz w:val="20"/>
          <w:szCs w:val="20"/>
          <w:lang w:eastAsia="ar-SA"/>
        </w:rPr>
        <w:t>(data i czytelny podpis kandydata)</w:t>
      </w:r>
    </w:p>
    <w:sectPr w:rsidR="00F43D1D">
      <w:pgSz w:w="11906" w:h="16838"/>
      <w:pgMar w:top="1134" w:right="1134" w:bottom="1134" w:left="1134" w:header="0" w:footer="0" w:gutter="0"/>
      <w:cols w:space="708"/>
      <w:formProt w:val="0"/>
      <w:docGrid w:linePitch="2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A4A24"/>
    <w:multiLevelType w:val="multilevel"/>
    <w:tmpl w:val="F190D42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255E308A"/>
    <w:multiLevelType w:val="multilevel"/>
    <w:tmpl w:val="A7EA4114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469F0D52"/>
    <w:multiLevelType w:val="multilevel"/>
    <w:tmpl w:val="605C0F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mirrorMargins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D1D"/>
    <w:rsid w:val="006B6E11"/>
    <w:rsid w:val="00F4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868E98-2F47-4815-B3A7-6E7CAE305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qFormat/>
    <w:rPr>
      <w:i w:val="0"/>
    </w:rPr>
  </w:style>
  <w:style w:type="character" w:customStyle="1" w:styleId="Znakiprzypiswdolnych">
    <w:name w:val="Znaki przypisów dolnych"/>
    <w:qFormat/>
    <w:rPr>
      <w:vertAlign w:val="superscript"/>
    </w:rPr>
  </w:style>
  <w:style w:type="character" w:customStyle="1" w:styleId="Wyrnienie">
    <w:name w:val="Wyróżnienie"/>
    <w:qFormat/>
    <w:rPr>
      <w:i/>
      <w:iCs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Znakinumeracji">
    <w:name w:val="Znaki numeracji"/>
    <w:qFormat/>
  </w:style>
  <w:style w:type="character" w:customStyle="1" w:styleId="Znakiprzypiswkocowych">
    <w:name w:val="Znaki przypisów końcow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WW8Num62z0">
    <w:name w:val="WW8Num62z0"/>
    <w:qFormat/>
    <w:rPr>
      <w:rFonts w:ascii="Symbol" w:hAnsi="Symbol" w:cs="Symbol"/>
      <w:sz w:val="20"/>
    </w:rPr>
  </w:style>
  <w:style w:type="character" w:customStyle="1" w:styleId="WW8Num62z1">
    <w:name w:val="WW8Num62z1"/>
    <w:qFormat/>
    <w:rPr>
      <w:rFonts w:ascii="Courier New" w:hAnsi="Courier New" w:cs="Courier New"/>
    </w:rPr>
  </w:style>
  <w:style w:type="character" w:customStyle="1" w:styleId="WW8Num62z2">
    <w:name w:val="WW8Num62z2"/>
    <w:qFormat/>
    <w:rPr>
      <w:rFonts w:ascii="Wingdings" w:hAnsi="Wingdings" w:cs="Wingdings"/>
    </w:rPr>
  </w:style>
  <w:style w:type="character" w:customStyle="1" w:styleId="WW8Num57z0">
    <w:name w:val="WW8Num57z0"/>
    <w:qFormat/>
    <w:rPr>
      <w:rFonts w:ascii="Tahoma" w:hAnsi="Tahoma" w:cs="Tahoma"/>
      <w:sz w:val="20"/>
    </w:rPr>
  </w:style>
  <w:style w:type="character" w:customStyle="1" w:styleId="WW8Num57z1">
    <w:name w:val="WW8Num57z1"/>
    <w:qFormat/>
  </w:style>
  <w:style w:type="character" w:customStyle="1" w:styleId="WW8Num57z2">
    <w:name w:val="WW8Num57z2"/>
    <w:qFormat/>
  </w:style>
  <w:style w:type="character" w:customStyle="1" w:styleId="WW8Num57z3">
    <w:name w:val="WW8Num57z3"/>
    <w:qFormat/>
  </w:style>
  <w:style w:type="character" w:customStyle="1" w:styleId="WW8Num57z4">
    <w:name w:val="WW8Num57z4"/>
    <w:qFormat/>
  </w:style>
  <w:style w:type="character" w:customStyle="1" w:styleId="WW8Num57z5">
    <w:name w:val="WW8Num57z5"/>
    <w:qFormat/>
  </w:style>
  <w:style w:type="character" w:customStyle="1" w:styleId="WW8Num57z6">
    <w:name w:val="WW8Num57z6"/>
    <w:qFormat/>
  </w:style>
  <w:style w:type="character" w:customStyle="1" w:styleId="WW8Num57z7">
    <w:name w:val="WW8Num57z7"/>
    <w:qFormat/>
  </w:style>
  <w:style w:type="character" w:customStyle="1" w:styleId="WW8Num57z8">
    <w:name w:val="WW8Num57z8"/>
    <w:qFormat/>
  </w:style>
  <w:style w:type="character" w:customStyle="1" w:styleId="WW8Num42z0">
    <w:name w:val="WW8Num42z0"/>
    <w:qFormat/>
    <w:rPr>
      <w:rFonts w:ascii="Symbol" w:hAnsi="Symbol" w:cs="Symbol"/>
      <w:sz w:val="20"/>
    </w:rPr>
  </w:style>
  <w:style w:type="character" w:customStyle="1" w:styleId="WW8Num42z1">
    <w:name w:val="WW8Num42z1"/>
    <w:qFormat/>
    <w:rPr>
      <w:rFonts w:ascii="Courier New" w:hAnsi="Courier New" w:cs="Courier New"/>
    </w:rPr>
  </w:style>
  <w:style w:type="character" w:customStyle="1" w:styleId="WW8Num42z2">
    <w:name w:val="WW8Num42z2"/>
    <w:qFormat/>
    <w:rPr>
      <w:rFonts w:ascii="Wingdings" w:hAnsi="Wingdings" w:cs="Wingdings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">
    <w:name w:val="ListLabel 1"/>
    <w:qFormat/>
    <w:rPr>
      <w:rFonts w:cs="OpenSymbol"/>
    </w:rPr>
  </w:style>
  <w:style w:type="character" w:customStyle="1" w:styleId="ListLabel2">
    <w:name w:val="ListLabel 2"/>
    <w:qFormat/>
    <w:rPr>
      <w:rFonts w:cs="OpenSymbol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rFonts w:cs="OpenSymbol"/>
    </w:rPr>
  </w:style>
  <w:style w:type="character" w:customStyle="1" w:styleId="ListLabel5">
    <w:name w:val="ListLabel 5"/>
    <w:qFormat/>
    <w:rPr>
      <w:rFonts w:cs="OpenSymbol"/>
    </w:rPr>
  </w:style>
  <w:style w:type="character" w:customStyle="1" w:styleId="ListLabel6">
    <w:name w:val="ListLabel 6"/>
    <w:qFormat/>
    <w:rPr>
      <w:rFonts w:cs="OpenSymbol"/>
    </w:rPr>
  </w:style>
  <w:style w:type="character" w:customStyle="1" w:styleId="ListLabel7">
    <w:name w:val="ListLabel 7"/>
    <w:qFormat/>
    <w:rPr>
      <w:rFonts w:cs="OpenSymbol"/>
    </w:rPr>
  </w:style>
  <w:style w:type="character" w:customStyle="1" w:styleId="ListLabel8">
    <w:name w:val="ListLabel 8"/>
    <w:qFormat/>
    <w:rPr>
      <w:rFonts w:cs="OpenSymbol"/>
    </w:rPr>
  </w:style>
  <w:style w:type="character" w:customStyle="1" w:styleId="ListLabel9">
    <w:name w:val="ListLabel 9"/>
    <w:qFormat/>
    <w:rPr>
      <w:rFonts w:cs="OpenSymbol"/>
    </w:rPr>
  </w:style>
  <w:style w:type="character" w:customStyle="1" w:styleId="ListLabel10">
    <w:name w:val="ListLabel 10"/>
    <w:qFormat/>
    <w:rPr>
      <w:rFonts w:cs="OpenSymbol"/>
    </w:rPr>
  </w:style>
  <w:style w:type="character" w:customStyle="1" w:styleId="ListLabel11">
    <w:name w:val="ListLabel 11"/>
    <w:qFormat/>
    <w:rPr>
      <w:rFonts w:cs="OpenSymbol"/>
    </w:rPr>
  </w:style>
  <w:style w:type="character" w:customStyle="1" w:styleId="ListLabel12">
    <w:name w:val="ListLabel 12"/>
    <w:qFormat/>
    <w:rPr>
      <w:rFonts w:cs="OpenSymbol"/>
    </w:rPr>
  </w:style>
  <w:style w:type="character" w:customStyle="1" w:styleId="ListLabel13">
    <w:name w:val="ListLabel 13"/>
    <w:qFormat/>
    <w:rPr>
      <w:rFonts w:cs="OpenSymbol"/>
    </w:rPr>
  </w:style>
  <w:style w:type="character" w:customStyle="1" w:styleId="ListLabel14">
    <w:name w:val="ListLabel 14"/>
    <w:qFormat/>
    <w:rPr>
      <w:rFonts w:cs="OpenSymbol"/>
    </w:rPr>
  </w:style>
  <w:style w:type="character" w:customStyle="1" w:styleId="ListLabel15">
    <w:name w:val="ListLabel 15"/>
    <w:qFormat/>
    <w:rPr>
      <w:rFonts w:cs="OpenSymbol"/>
    </w:rPr>
  </w:style>
  <w:style w:type="character" w:customStyle="1" w:styleId="ListLabel16">
    <w:name w:val="ListLabel 16"/>
    <w:qFormat/>
    <w:rPr>
      <w:rFonts w:cs="OpenSymbol"/>
    </w:rPr>
  </w:style>
  <w:style w:type="character" w:customStyle="1" w:styleId="ListLabel17">
    <w:name w:val="ListLabel 17"/>
    <w:qFormat/>
    <w:rPr>
      <w:rFonts w:cs="OpenSymbol"/>
    </w:rPr>
  </w:style>
  <w:style w:type="character" w:customStyle="1" w:styleId="ListLabel18">
    <w:name w:val="ListLabel 18"/>
    <w:qFormat/>
    <w:rPr>
      <w:rFonts w:cs="OpenSymbol"/>
    </w:rPr>
  </w:style>
  <w:style w:type="character" w:customStyle="1" w:styleId="ListLabel19">
    <w:name w:val="ListLabel 19"/>
    <w:qFormat/>
    <w:rPr>
      <w:rFonts w:cs="OpenSymbol"/>
    </w:rPr>
  </w:style>
  <w:style w:type="character" w:customStyle="1" w:styleId="ListLabel20">
    <w:name w:val="ListLabel 20"/>
    <w:qFormat/>
    <w:rPr>
      <w:rFonts w:cs="OpenSymbol"/>
    </w:rPr>
  </w:style>
  <w:style w:type="character" w:customStyle="1" w:styleId="ListLabel21">
    <w:name w:val="ListLabel 21"/>
    <w:qFormat/>
    <w:rPr>
      <w:rFonts w:cs="OpenSymbol"/>
    </w:rPr>
  </w:style>
  <w:style w:type="character" w:customStyle="1" w:styleId="ListLabel22">
    <w:name w:val="ListLabel 22"/>
    <w:qFormat/>
    <w:rPr>
      <w:rFonts w:cs="OpenSymbol"/>
    </w:rPr>
  </w:style>
  <w:style w:type="character" w:customStyle="1" w:styleId="ListLabel23">
    <w:name w:val="ListLabel 23"/>
    <w:qFormat/>
    <w:rPr>
      <w:rFonts w:cs="OpenSymbol"/>
    </w:rPr>
  </w:style>
  <w:style w:type="character" w:customStyle="1" w:styleId="ListLabel24">
    <w:name w:val="ListLabel 24"/>
    <w:qFormat/>
    <w:rPr>
      <w:rFonts w:cs="OpenSymbol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customStyle="1" w:styleId="EndnoteSymbol">
    <w:name w:val="Endnote Symbol"/>
    <w:basedOn w:val="Normalny"/>
    <w:qFormat/>
    <w:pPr>
      <w:suppressLineNumbers/>
      <w:ind w:left="283" w:hanging="283"/>
    </w:pPr>
    <w:rPr>
      <w:sz w:val="20"/>
      <w:szCs w:val="20"/>
    </w:r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numbering" w:customStyle="1" w:styleId="WW8Num2">
    <w:name w:val="WW8Num2"/>
    <w:qFormat/>
  </w:style>
  <w:style w:type="numbering" w:customStyle="1" w:styleId="WW8Num62">
    <w:name w:val="WW8Num62"/>
    <w:qFormat/>
  </w:style>
  <w:style w:type="numbering" w:customStyle="1" w:styleId="WW8Num57">
    <w:name w:val="WW8Num57"/>
    <w:qFormat/>
  </w:style>
  <w:style w:type="numbering" w:customStyle="1" w:styleId="WW8Num42">
    <w:name w:val="WW8Num4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511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dc:description/>
  <cp:lastModifiedBy>Ula</cp:lastModifiedBy>
  <cp:revision>2</cp:revision>
  <cp:lastPrinted>2020-03-12T13:19:00Z</cp:lastPrinted>
  <dcterms:created xsi:type="dcterms:W3CDTF">2022-11-09T10:14:00Z</dcterms:created>
  <dcterms:modified xsi:type="dcterms:W3CDTF">2022-11-09T10:14:00Z</dcterms:modified>
  <dc:language>pl-PL</dc:language>
</cp:coreProperties>
</file>