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61B" w:rsidRPr="00A46698" w:rsidRDefault="007E7BF1">
      <w:pPr>
        <w:rPr>
          <w:rFonts w:ascii="Times New Roman" w:hAnsi="Times New Roman" w:cs="Times New Roman"/>
          <w:sz w:val="28"/>
          <w:szCs w:val="28"/>
        </w:rPr>
      </w:pPr>
      <w:r w:rsidRPr="00A46698">
        <w:rPr>
          <w:rStyle w:val="article-content"/>
          <w:rFonts w:ascii="Times New Roman" w:hAnsi="Times New Roman" w:cs="Times New Roman"/>
          <w:sz w:val="28"/>
          <w:szCs w:val="28"/>
        </w:rPr>
        <w:t>Rozporządzenia (WE) 853/2004 z dnia 29 kwietnia 2004 roku ustanawiającego szczególne przepisy dotyczące higieny w odniesieniu do żywności pochodzenia zwierzęcego (Dz. U. L 139 z 30.4.2004, str. 55), które stosowane są przez producentów mięsa, drobiu, wyrobów mięsnych, wędlin, nabiału, itp. Przepisy te wymagają, aby transport prowadzony był według poniższych kryteriów: mięso świeże (czerwone) – poniżej +7°C, mięso drobiowe (białe) – poniżej +4°C, mięso podrobów – poniżej +3°C, produkty z mięsa mielonego – poniżej +2°C.</w:t>
      </w:r>
    </w:p>
    <w:sectPr w:rsidR="0080661B" w:rsidRPr="00A46698" w:rsidSect="00806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7BF1"/>
    <w:rsid w:val="00066F40"/>
    <w:rsid w:val="0016492F"/>
    <w:rsid w:val="00514E7C"/>
    <w:rsid w:val="007E7BF1"/>
    <w:rsid w:val="0080661B"/>
    <w:rsid w:val="00A46698"/>
    <w:rsid w:val="00B344AC"/>
    <w:rsid w:val="00B80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6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icle-content">
    <w:name w:val="article-content"/>
    <w:basedOn w:val="Domylnaczcionkaakapitu"/>
    <w:rsid w:val="007E7B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450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3</cp:revision>
  <dcterms:created xsi:type="dcterms:W3CDTF">2017-12-01T09:55:00Z</dcterms:created>
  <dcterms:modified xsi:type="dcterms:W3CDTF">2017-12-01T10:05:00Z</dcterms:modified>
</cp:coreProperties>
</file>